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34EF" w14:textId="434FB2FA" w:rsidR="002C744C" w:rsidRDefault="002C744C"/>
    <w:p w14:paraId="7D630229" w14:textId="5A56DC40" w:rsidR="00B91C3C" w:rsidRDefault="00B91C3C" w:rsidP="00B91C3C">
      <w:pPr>
        <w:jc w:val="center"/>
        <w:rPr>
          <w:b/>
          <w:bCs/>
          <w:sz w:val="24"/>
          <w:szCs w:val="24"/>
        </w:rPr>
      </w:pPr>
      <w:r w:rsidRPr="00B91C3C">
        <w:rPr>
          <w:b/>
          <w:bCs/>
          <w:sz w:val="24"/>
          <w:szCs w:val="24"/>
        </w:rPr>
        <w:t>Πρόταση  παρατάξεων της  αντιπολίτευσης</w:t>
      </w:r>
    </w:p>
    <w:p w14:paraId="6391F843" w14:textId="514C58BE" w:rsidR="00B91C3C" w:rsidRPr="00B91C3C" w:rsidRDefault="00B91C3C" w:rsidP="00B91C3C">
      <w:pPr>
        <w:jc w:val="center"/>
        <w:rPr>
          <w:b/>
          <w:bCs/>
          <w:sz w:val="24"/>
          <w:szCs w:val="24"/>
        </w:rPr>
      </w:pPr>
      <w:r w:rsidRPr="00B91C3C">
        <w:rPr>
          <w:b/>
          <w:bCs/>
          <w:sz w:val="24"/>
          <w:szCs w:val="24"/>
        </w:rPr>
        <w:t>σχετικά με τα  Δημοτικά τέλη έτους 2022</w:t>
      </w:r>
    </w:p>
    <w:p w14:paraId="2E5C412D" w14:textId="1F02B584" w:rsidR="00FF7D53" w:rsidRDefault="00B91C3C">
      <w:r>
        <w:t xml:space="preserve">                                                                                                                        Ηράκλειο  16/11/2021</w:t>
      </w:r>
    </w:p>
    <w:p w14:paraId="7587716C" w14:textId="5A2C11A4" w:rsidR="00AB0689" w:rsidRDefault="00FF7D53">
      <w:pPr>
        <w:rPr>
          <w:b/>
          <w:bCs/>
        </w:rPr>
      </w:pPr>
      <w:r w:rsidRPr="009B5DDA">
        <w:rPr>
          <w:b/>
          <w:bCs/>
        </w:rPr>
        <w:t>ΔΗΜΟΤΙΚΑ ΤΕΛΗ  2022</w:t>
      </w:r>
    </w:p>
    <w:p w14:paraId="67ADA01C" w14:textId="29A99669" w:rsidR="000C3AB6" w:rsidRDefault="000C3AB6">
      <w:pPr>
        <w:rPr>
          <w:b/>
          <w:bCs/>
        </w:rPr>
      </w:pPr>
    </w:p>
    <w:p w14:paraId="72BE71CC" w14:textId="69FC0658" w:rsidR="00FF7D53" w:rsidRDefault="00FF7D53">
      <w:r>
        <w:t xml:space="preserve">   </w:t>
      </w:r>
      <w:r w:rsidR="00AB0689">
        <w:t xml:space="preserve">Η πρόταση της Δημοτικής αρχής </w:t>
      </w:r>
      <w:r>
        <w:t xml:space="preserve">για τα Δημοτικά τέλη </w:t>
      </w:r>
      <w:r w:rsidR="00AB0689">
        <w:t xml:space="preserve">της επόμενης χρονιάς (2022) κατατέθηκε για συζήτηση και λήψη απόφασης στην συνεδρίαση της οικονομικής επιτροπής που έχει προγραμματιστεί για την Τρίτη  </w:t>
      </w:r>
      <w:r>
        <w:t>16/11/2021 .</w:t>
      </w:r>
    </w:p>
    <w:p w14:paraId="1B1F1179" w14:textId="48297A9E" w:rsidR="00AB0689" w:rsidRDefault="00FF7D53">
      <w:r>
        <w:t xml:space="preserve">Η πρόταση </w:t>
      </w:r>
      <w:r w:rsidR="000C3AB6">
        <w:t xml:space="preserve"> </w:t>
      </w:r>
      <w:r>
        <w:t xml:space="preserve">της </w:t>
      </w:r>
      <w:r w:rsidR="000C3AB6">
        <w:t xml:space="preserve"> </w:t>
      </w:r>
      <w:r w:rsidR="00AB0689">
        <w:t>για την τιμή των τελών φαίνεται στον παρακάτω πίνακα, όπου εύκολα γίνεται αντιληπτή η πρόθεση για μεγάλες αυξήσεις σε όλες τις κατηγορίες</w:t>
      </w:r>
      <w:r w:rsidR="00F876ED">
        <w:t xml:space="preserve"> στην ιδιαίτερη περίοδο που διανύουμε</w:t>
      </w:r>
      <w:r w:rsidR="00AB0689">
        <w:t xml:space="preserve">. </w:t>
      </w:r>
    </w:p>
    <w:p w14:paraId="7A51E646" w14:textId="721DEF96" w:rsidR="000C3AB6" w:rsidRDefault="000C3AB6">
      <w:r>
        <w:t xml:space="preserve">Να  σημειώσουμε  κάτι που χαρακτηρίζει την συνολική πολιτική της  σημερινής Δημοτικής  αρχής .  </w:t>
      </w:r>
      <w:r w:rsidR="00267042" w:rsidRPr="00267042">
        <w:rPr>
          <w:b/>
          <w:bCs/>
        </w:rPr>
        <w:t>Πρώτο</w:t>
      </w:r>
      <w:r w:rsidR="00267042">
        <w:t xml:space="preserve"> .Αβασάνιστα  εφαρμόζει   κάθε  κυβερνητική επιλογή   καλυπτόμενη πίσω από μανδύες  νομιμότητας.</w:t>
      </w:r>
      <w:r>
        <w:t xml:space="preserve"> </w:t>
      </w:r>
      <w:r w:rsidR="00267042">
        <w:t xml:space="preserve"> </w:t>
      </w:r>
      <w:r w:rsidR="00267042" w:rsidRPr="00267042">
        <w:rPr>
          <w:b/>
          <w:bCs/>
        </w:rPr>
        <w:t>Δεύτερο</w:t>
      </w:r>
      <w:r w:rsidR="00267042">
        <w:t xml:space="preserve">   Δεν αντιλαμβάνεται  τις δυσκολίες  της περιόδου  ( πανδημία, αυξήσεις  , και  οικονομική κρίση )   κα μεταφέρει  στις πλάτες των δημοτών κάθε πρόσθετο έξοδο  προκύπτει.    </w:t>
      </w:r>
    </w:p>
    <w:p w14:paraId="06D91FBF" w14:textId="77777777" w:rsidR="000C3AB6" w:rsidRDefault="000C3AB6"/>
    <w:tbl>
      <w:tblPr>
        <w:tblStyle w:val="2-5"/>
        <w:tblW w:w="5713" w:type="pct"/>
        <w:tblBorders>
          <w:top w:val="none" w:sz="0" w:space="0" w:color="auto"/>
        </w:tblBorders>
        <w:tblLayout w:type="fixed"/>
        <w:tblLook w:val="0660" w:firstRow="1" w:lastRow="1" w:firstColumn="0" w:lastColumn="0" w:noHBand="1" w:noVBand="1"/>
      </w:tblPr>
      <w:tblGrid>
        <w:gridCol w:w="4825"/>
        <w:gridCol w:w="1839"/>
        <w:gridCol w:w="1275"/>
        <w:gridCol w:w="1551"/>
      </w:tblGrid>
      <w:tr w:rsidR="00C044E9" w14:paraId="0448882B" w14:textId="77777777" w:rsidTr="00F8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1EE156E" w14:textId="02AE319C" w:rsidR="00AB0689" w:rsidRDefault="00AB0689" w:rsidP="00AB0689">
            <w:pPr>
              <w:jc w:val="center"/>
            </w:pPr>
            <w:r>
              <w:t>Κατηγορία</w:t>
            </w:r>
          </w:p>
        </w:tc>
        <w:tc>
          <w:tcPr>
            <w:tcW w:w="9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B8DD36" w14:textId="4817811F" w:rsidR="00AB0689" w:rsidRDefault="00AB0689" w:rsidP="00AB0689">
            <w:pPr>
              <w:jc w:val="center"/>
            </w:pPr>
            <w:r>
              <w:t>Τιμή Τελών 2021</w:t>
            </w:r>
            <w:r w:rsidR="00D13F96">
              <w:t xml:space="preserve"> ανά τετραγωνικό μέτρο</w:t>
            </w:r>
          </w:p>
        </w:tc>
        <w:tc>
          <w:tcPr>
            <w:tcW w:w="6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0B444F" w14:textId="0B7DFA78" w:rsidR="00AB0689" w:rsidRDefault="00AB0689" w:rsidP="00AB0689">
            <w:pPr>
              <w:jc w:val="center"/>
            </w:pPr>
            <w:r>
              <w:t>Πρόταση Δημοτικής αρχής 2022</w:t>
            </w:r>
          </w:p>
        </w:tc>
        <w:tc>
          <w:tcPr>
            <w:tcW w:w="8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486B48" w14:textId="77777777" w:rsidR="00AB0689" w:rsidRDefault="00AB0689" w:rsidP="00AB0689">
            <w:pPr>
              <w:jc w:val="center"/>
            </w:pPr>
            <w:r>
              <w:t>Αλλαγή</w:t>
            </w:r>
          </w:p>
        </w:tc>
      </w:tr>
      <w:tr w:rsidR="00C044E9" w14:paraId="185DD397" w14:textId="77777777" w:rsidTr="00F876ED">
        <w:trPr>
          <w:trHeight w:val="340"/>
        </w:trPr>
        <w:tc>
          <w:tcPr>
            <w:tcW w:w="2542" w:type="pct"/>
            <w:noWrap/>
            <w:vAlign w:val="center"/>
          </w:tcPr>
          <w:p w14:paraId="77026E35" w14:textId="0F5E1E79" w:rsidR="00C044E9" w:rsidRDefault="00C044E9" w:rsidP="00C044E9">
            <w:pPr>
              <w:jc w:val="center"/>
            </w:pPr>
            <w:r>
              <w:t xml:space="preserve">Οικίες Ηρακλείου ( Αστικού) </w:t>
            </w:r>
          </w:p>
        </w:tc>
        <w:tc>
          <w:tcPr>
            <w:tcW w:w="969" w:type="pct"/>
            <w:vAlign w:val="bottom"/>
          </w:tcPr>
          <w:p w14:paraId="334AE7C2" w14:textId="0BAAACB6" w:rsidR="00C044E9" w:rsidRPr="00C044E9" w:rsidRDefault="00C044E9" w:rsidP="00C044E9">
            <w:pPr>
              <w:pStyle w:val="DecimalAligned"/>
              <w:jc w:val="center"/>
              <w:rPr>
                <w:i/>
                <w:iCs/>
              </w:rPr>
            </w:pPr>
            <w:r>
              <w:rPr>
                <w:rStyle w:val="a5"/>
              </w:rPr>
              <w:t>0,61</w:t>
            </w:r>
          </w:p>
        </w:tc>
        <w:tc>
          <w:tcPr>
            <w:tcW w:w="672" w:type="pct"/>
            <w:vAlign w:val="bottom"/>
          </w:tcPr>
          <w:p w14:paraId="5BA9C4BB" w14:textId="31F14015" w:rsidR="00C044E9" w:rsidRDefault="00C044E9" w:rsidP="00C044E9">
            <w:pPr>
              <w:pStyle w:val="DecimalAligned"/>
              <w:jc w:val="center"/>
            </w:pPr>
            <w:r>
              <w:t>0,81</w:t>
            </w:r>
          </w:p>
        </w:tc>
        <w:tc>
          <w:tcPr>
            <w:tcW w:w="818" w:type="pct"/>
            <w:vAlign w:val="center"/>
          </w:tcPr>
          <w:p w14:paraId="1AED302C" w14:textId="0F34392D" w:rsidR="00C044E9" w:rsidRPr="00D13F96" w:rsidRDefault="00C044E9" w:rsidP="00C044E9">
            <w:pPr>
              <w:pStyle w:val="DecimalAligned"/>
              <w:jc w:val="center"/>
              <w:rPr>
                <w:b/>
              </w:rPr>
            </w:pPr>
            <w:r w:rsidRPr="00D13F96">
              <w:rPr>
                <w:b/>
              </w:rPr>
              <w:t>Αύξηση 32,8%</w:t>
            </w:r>
          </w:p>
        </w:tc>
      </w:tr>
      <w:tr w:rsidR="00C044E9" w14:paraId="32A1511F" w14:textId="77777777" w:rsidTr="00F876ED">
        <w:tc>
          <w:tcPr>
            <w:tcW w:w="2542" w:type="pct"/>
            <w:noWrap/>
            <w:vAlign w:val="center"/>
          </w:tcPr>
          <w:p w14:paraId="628B05E5" w14:textId="2C981DB2" w:rsidR="00C044E9" w:rsidRDefault="00C044E9" w:rsidP="00C044E9">
            <w:pPr>
              <w:jc w:val="center"/>
            </w:pPr>
            <w:r>
              <w:t>Οικίες Ηρακλείου (</w:t>
            </w:r>
            <w:proofErr w:type="spellStart"/>
            <w:r>
              <w:t>περιαστικού</w:t>
            </w:r>
            <w:proofErr w:type="spellEnd"/>
            <w:r>
              <w:t>)</w:t>
            </w:r>
          </w:p>
        </w:tc>
        <w:tc>
          <w:tcPr>
            <w:tcW w:w="969" w:type="pct"/>
            <w:vAlign w:val="center"/>
          </w:tcPr>
          <w:p w14:paraId="0A6E0B52" w14:textId="4E76D3B8" w:rsidR="00C044E9" w:rsidRDefault="00C044E9" w:rsidP="00C044E9">
            <w:pPr>
              <w:pStyle w:val="DecimalAligned"/>
              <w:jc w:val="center"/>
            </w:pPr>
            <w:r>
              <w:t>0,56</w:t>
            </w:r>
          </w:p>
        </w:tc>
        <w:tc>
          <w:tcPr>
            <w:tcW w:w="672" w:type="pct"/>
            <w:vAlign w:val="center"/>
          </w:tcPr>
          <w:p w14:paraId="3AB4F632" w14:textId="3FA51C99" w:rsidR="00C044E9" w:rsidRDefault="00C044E9" w:rsidP="00C044E9">
            <w:pPr>
              <w:pStyle w:val="DecimalAligned"/>
              <w:jc w:val="center"/>
            </w:pPr>
            <w:r>
              <w:t>0,74</w:t>
            </w:r>
          </w:p>
        </w:tc>
        <w:tc>
          <w:tcPr>
            <w:tcW w:w="818" w:type="pct"/>
            <w:vAlign w:val="center"/>
          </w:tcPr>
          <w:p w14:paraId="4B55B8DA" w14:textId="4B28E67B" w:rsidR="00C044E9" w:rsidRPr="00D13F96" w:rsidRDefault="00C044E9" w:rsidP="00C044E9">
            <w:pPr>
              <w:pStyle w:val="DecimalAligned"/>
              <w:jc w:val="center"/>
              <w:rPr>
                <w:b/>
              </w:rPr>
            </w:pPr>
            <w:r w:rsidRPr="00D13F96">
              <w:rPr>
                <w:b/>
              </w:rPr>
              <w:t>Αύξηση 32,</w:t>
            </w:r>
            <w:r>
              <w:rPr>
                <w:b/>
              </w:rPr>
              <w:t>1</w:t>
            </w:r>
            <w:r w:rsidRPr="00D13F96">
              <w:rPr>
                <w:b/>
              </w:rPr>
              <w:t>%</w:t>
            </w:r>
          </w:p>
        </w:tc>
      </w:tr>
      <w:tr w:rsidR="00C044E9" w14:paraId="2738F825" w14:textId="77777777" w:rsidTr="00F876ED">
        <w:tc>
          <w:tcPr>
            <w:tcW w:w="2542" w:type="pct"/>
            <w:noWrap/>
            <w:vAlign w:val="center"/>
          </w:tcPr>
          <w:p w14:paraId="71B1E880" w14:textId="3DF45904" w:rsidR="00C044E9" w:rsidRDefault="00C044E9" w:rsidP="00C044E9">
            <w:pPr>
              <w:jc w:val="center"/>
            </w:pPr>
            <w:r>
              <w:t>Ε</w:t>
            </w:r>
            <w:r w:rsidRPr="00C044E9">
              <w:t>κπαιδευτικά ιδρύματα , ΙΤΕ, νοσοκομεία</w:t>
            </w:r>
          </w:p>
        </w:tc>
        <w:tc>
          <w:tcPr>
            <w:tcW w:w="969" w:type="pct"/>
            <w:vAlign w:val="center"/>
          </w:tcPr>
          <w:p w14:paraId="51317953" w14:textId="6207BE8D" w:rsidR="00C044E9" w:rsidRDefault="00C044E9" w:rsidP="00C044E9">
            <w:pPr>
              <w:pStyle w:val="DecimalAligned"/>
              <w:jc w:val="center"/>
            </w:pPr>
            <w:r>
              <w:t>0,93</w:t>
            </w:r>
          </w:p>
        </w:tc>
        <w:tc>
          <w:tcPr>
            <w:tcW w:w="672" w:type="pct"/>
            <w:vAlign w:val="center"/>
          </w:tcPr>
          <w:p w14:paraId="720844AF" w14:textId="5E2607BB" w:rsidR="00C044E9" w:rsidRDefault="00C044E9" w:rsidP="00C044E9">
            <w:pPr>
              <w:pStyle w:val="DecimalAligned"/>
              <w:jc w:val="center"/>
            </w:pPr>
            <w:r>
              <w:t>1,70</w:t>
            </w:r>
          </w:p>
        </w:tc>
        <w:tc>
          <w:tcPr>
            <w:tcW w:w="818" w:type="pct"/>
            <w:vAlign w:val="center"/>
          </w:tcPr>
          <w:p w14:paraId="423FDE1E" w14:textId="0B17009E" w:rsidR="00C044E9" w:rsidRPr="00D13F96" w:rsidRDefault="00C044E9" w:rsidP="00C044E9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54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7</w:t>
            </w:r>
            <w:r w:rsidRPr="00D13F96">
              <w:rPr>
                <w:b/>
              </w:rPr>
              <w:t>%</w:t>
            </w:r>
          </w:p>
        </w:tc>
      </w:tr>
      <w:tr w:rsidR="00C044E9" w14:paraId="46819636" w14:textId="77777777" w:rsidTr="00F876ED">
        <w:tc>
          <w:tcPr>
            <w:tcW w:w="2542" w:type="pct"/>
            <w:noWrap/>
            <w:vAlign w:val="center"/>
          </w:tcPr>
          <w:p w14:paraId="4F9475B6" w14:textId="0DB4B95A" w:rsidR="00C044E9" w:rsidRDefault="00B423DD" w:rsidP="00C044E9">
            <w:pPr>
              <w:jc w:val="center"/>
            </w:pPr>
            <w:r w:rsidRPr="000D4904">
              <w:rPr>
                <w:color w:val="000000"/>
              </w:rPr>
              <w:t>Επαγγελματικές παροχές  εντός τειχών</w:t>
            </w:r>
          </w:p>
        </w:tc>
        <w:tc>
          <w:tcPr>
            <w:tcW w:w="969" w:type="pct"/>
            <w:vAlign w:val="center"/>
          </w:tcPr>
          <w:p w14:paraId="0D74B1E5" w14:textId="69377893" w:rsidR="00C044E9" w:rsidRDefault="00B423DD" w:rsidP="00C044E9">
            <w:pPr>
              <w:pStyle w:val="DecimalAligned"/>
              <w:jc w:val="center"/>
            </w:pPr>
            <w:r>
              <w:t>2,40</w:t>
            </w:r>
          </w:p>
        </w:tc>
        <w:tc>
          <w:tcPr>
            <w:tcW w:w="672" w:type="pct"/>
            <w:vAlign w:val="center"/>
          </w:tcPr>
          <w:p w14:paraId="50D94B73" w14:textId="1019992A" w:rsidR="00C044E9" w:rsidRDefault="00B423DD" w:rsidP="00C044E9">
            <w:pPr>
              <w:pStyle w:val="DecimalAligned"/>
              <w:jc w:val="center"/>
            </w:pPr>
            <w:r>
              <w:t>2,90</w:t>
            </w:r>
          </w:p>
        </w:tc>
        <w:tc>
          <w:tcPr>
            <w:tcW w:w="818" w:type="pct"/>
            <w:vAlign w:val="center"/>
          </w:tcPr>
          <w:p w14:paraId="3B304987" w14:textId="4CC26908" w:rsidR="00C044E9" w:rsidRPr="00D13F96" w:rsidRDefault="00B423DD" w:rsidP="00B423DD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20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8</w:t>
            </w:r>
            <w:r w:rsidRPr="00D13F96">
              <w:rPr>
                <w:b/>
              </w:rPr>
              <w:t>%</w:t>
            </w:r>
          </w:p>
        </w:tc>
      </w:tr>
      <w:tr w:rsidR="00C044E9" w14:paraId="6E6574AF" w14:textId="77777777" w:rsidTr="00F876ED">
        <w:tc>
          <w:tcPr>
            <w:tcW w:w="2542" w:type="pct"/>
            <w:noWrap/>
            <w:vAlign w:val="center"/>
          </w:tcPr>
          <w:p w14:paraId="746C6B1C" w14:textId="702B598F" w:rsidR="00C044E9" w:rsidRDefault="00B423DD" w:rsidP="00C044E9">
            <w:pPr>
              <w:jc w:val="center"/>
            </w:pPr>
            <w:r w:rsidRPr="000D4904">
              <w:rPr>
                <w:color w:val="000000"/>
              </w:rPr>
              <w:t>Επαγγελματικές παροχές  εκτός τειχών</w:t>
            </w:r>
          </w:p>
        </w:tc>
        <w:tc>
          <w:tcPr>
            <w:tcW w:w="969" w:type="pct"/>
            <w:vAlign w:val="center"/>
          </w:tcPr>
          <w:p w14:paraId="7E55F4AC" w14:textId="4A17A99A" w:rsidR="00C044E9" w:rsidRDefault="00B423DD" w:rsidP="00C044E9">
            <w:pPr>
              <w:pStyle w:val="DecimalAligned"/>
              <w:jc w:val="center"/>
            </w:pPr>
            <w:r>
              <w:t>2,00</w:t>
            </w:r>
          </w:p>
        </w:tc>
        <w:tc>
          <w:tcPr>
            <w:tcW w:w="672" w:type="pct"/>
            <w:vAlign w:val="center"/>
          </w:tcPr>
          <w:p w14:paraId="42987314" w14:textId="08D24D18" w:rsidR="00C044E9" w:rsidRDefault="00B423DD" w:rsidP="00C044E9">
            <w:pPr>
              <w:pStyle w:val="DecimalAligned"/>
              <w:jc w:val="center"/>
            </w:pPr>
            <w:r>
              <w:t>2,40</w:t>
            </w:r>
          </w:p>
        </w:tc>
        <w:tc>
          <w:tcPr>
            <w:tcW w:w="818" w:type="pct"/>
            <w:vAlign w:val="center"/>
          </w:tcPr>
          <w:p w14:paraId="6D83A533" w14:textId="1AFBE0B8" w:rsidR="00C044E9" w:rsidRPr="00D13F96" w:rsidRDefault="00B423DD" w:rsidP="00B423DD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20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0</w:t>
            </w:r>
            <w:r w:rsidRPr="00D13F96">
              <w:rPr>
                <w:b/>
              </w:rPr>
              <w:t>%</w:t>
            </w:r>
          </w:p>
        </w:tc>
      </w:tr>
      <w:tr w:rsidR="00C044E9" w14:paraId="7E167793" w14:textId="77777777" w:rsidTr="00F876ED">
        <w:tc>
          <w:tcPr>
            <w:tcW w:w="2542" w:type="pct"/>
            <w:noWrap/>
            <w:vAlign w:val="center"/>
          </w:tcPr>
          <w:p w14:paraId="5C3BF092" w14:textId="2B27F49B" w:rsidR="00C044E9" w:rsidRDefault="00B423DD" w:rsidP="00C044E9">
            <w:pPr>
              <w:jc w:val="center"/>
            </w:pPr>
            <w:r w:rsidRPr="000D4904">
              <w:rPr>
                <w:color w:val="000000"/>
              </w:rPr>
              <w:t>Βιοτεχνικές και Βιομηχανικές Επιχειρήσεις χαμηλής όχλησης</w:t>
            </w:r>
          </w:p>
        </w:tc>
        <w:tc>
          <w:tcPr>
            <w:tcW w:w="969" w:type="pct"/>
            <w:vAlign w:val="center"/>
          </w:tcPr>
          <w:p w14:paraId="02890AE0" w14:textId="526CFD7C" w:rsidR="00C044E9" w:rsidRDefault="00B423DD" w:rsidP="00C044E9">
            <w:pPr>
              <w:pStyle w:val="DecimalAligned"/>
              <w:jc w:val="center"/>
            </w:pPr>
            <w:r>
              <w:t>1,69</w:t>
            </w:r>
          </w:p>
        </w:tc>
        <w:tc>
          <w:tcPr>
            <w:tcW w:w="672" w:type="pct"/>
            <w:vAlign w:val="center"/>
          </w:tcPr>
          <w:p w14:paraId="5E72F430" w14:textId="152C0465" w:rsidR="00C044E9" w:rsidRDefault="00B423DD" w:rsidP="00C044E9">
            <w:pPr>
              <w:pStyle w:val="DecimalAligned"/>
              <w:jc w:val="center"/>
            </w:pPr>
            <w:r>
              <w:t>2,30</w:t>
            </w:r>
          </w:p>
        </w:tc>
        <w:tc>
          <w:tcPr>
            <w:tcW w:w="818" w:type="pct"/>
            <w:vAlign w:val="center"/>
          </w:tcPr>
          <w:p w14:paraId="7B0EB3D9" w14:textId="1AFBC2DC" w:rsidR="00C044E9" w:rsidRPr="00D13F96" w:rsidRDefault="00B423DD" w:rsidP="00B423DD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36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1</w:t>
            </w:r>
            <w:r w:rsidRPr="00D13F96">
              <w:rPr>
                <w:b/>
              </w:rPr>
              <w:t>%</w:t>
            </w:r>
          </w:p>
        </w:tc>
      </w:tr>
      <w:tr w:rsidR="00C044E9" w14:paraId="79B0DAD1" w14:textId="77777777" w:rsidTr="00F876ED">
        <w:tc>
          <w:tcPr>
            <w:tcW w:w="2542" w:type="pct"/>
            <w:noWrap/>
            <w:vAlign w:val="center"/>
          </w:tcPr>
          <w:p w14:paraId="3EF64A66" w14:textId="476F277F" w:rsidR="00C044E9" w:rsidRDefault="00B423DD" w:rsidP="00C044E9">
            <w:pPr>
              <w:jc w:val="center"/>
            </w:pPr>
            <w:r>
              <w:t>ΟΛΗ - ΒΙΠΕ</w:t>
            </w:r>
          </w:p>
        </w:tc>
        <w:tc>
          <w:tcPr>
            <w:tcW w:w="969" w:type="pct"/>
            <w:vAlign w:val="center"/>
          </w:tcPr>
          <w:p w14:paraId="0990F89C" w14:textId="0E4B081C" w:rsidR="00C044E9" w:rsidRDefault="00B423DD" w:rsidP="00C044E9">
            <w:pPr>
              <w:pStyle w:val="DecimalAligned"/>
              <w:jc w:val="center"/>
            </w:pPr>
            <w:r>
              <w:t>0,45</w:t>
            </w:r>
          </w:p>
        </w:tc>
        <w:tc>
          <w:tcPr>
            <w:tcW w:w="672" w:type="pct"/>
            <w:vAlign w:val="center"/>
          </w:tcPr>
          <w:p w14:paraId="199E2C13" w14:textId="6F82CCE5" w:rsidR="00C044E9" w:rsidRDefault="00B423DD" w:rsidP="00C044E9">
            <w:pPr>
              <w:pStyle w:val="DecimalAligned"/>
              <w:jc w:val="center"/>
            </w:pPr>
            <w:r>
              <w:t>0,70</w:t>
            </w:r>
          </w:p>
        </w:tc>
        <w:tc>
          <w:tcPr>
            <w:tcW w:w="818" w:type="pct"/>
            <w:vAlign w:val="center"/>
          </w:tcPr>
          <w:p w14:paraId="640D9F9B" w14:textId="578484CA" w:rsidR="00C044E9" w:rsidRPr="00D13F96" w:rsidRDefault="00B423DD" w:rsidP="00B423DD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55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6%</w:t>
            </w:r>
          </w:p>
        </w:tc>
      </w:tr>
      <w:tr w:rsidR="00C044E9" w14:paraId="24C629CE" w14:textId="77777777" w:rsidTr="00F876ED">
        <w:tc>
          <w:tcPr>
            <w:tcW w:w="2542" w:type="pct"/>
            <w:noWrap/>
            <w:vAlign w:val="center"/>
          </w:tcPr>
          <w:p w14:paraId="10C77825" w14:textId="7F0CBBDC" w:rsidR="00C044E9" w:rsidRDefault="00B423DD" w:rsidP="00C044E9">
            <w:pPr>
              <w:jc w:val="center"/>
            </w:pPr>
            <w:r w:rsidRPr="000D4904">
              <w:rPr>
                <w:color w:val="000000"/>
              </w:rPr>
              <w:t>Υπαίθριοι και στεγασμένοι σταθμοί αυτοκινήτων - πάρκινγκ</w:t>
            </w:r>
          </w:p>
        </w:tc>
        <w:tc>
          <w:tcPr>
            <w:tcW w:w="969" w:type="pct"/>
            <w:vAlign w:val="center"/>
          </w:tcPr>
          <w:p w14:paraId="4F58CC6D" w14:textId="268FD13F" w:rsidR="00C044E9" w:rsidRDefault="00B423DD" w:rsidP="00C044E9">
            <w:pPr>
              <w:pStyle w:val="DecimalAligned"/>
              <w:jc w:val="center"/>
            </w:pPr>
            <w:r>
              <w:t>1,39</w:t>
            </w:r>
          </w:p>
        </w:tc>
        <w:tc>
          <w:tcPr>
            <w:tcW w:w="672" w:type="pct"/>
            <w:vAlign w:val="center"/>
          </w:tcPr>
          <w:p w14:paraId="1CA75927" w14:textId="765B2E22" w:rsidR="00C044E9" w:rsidRDefault="00B423DD" w:rsidP="00C044E9">
            <w:pPr>
              <w:pStyle w:val="DecimalAligned"/>
              <w:jc w:val="center"/>
            </w:pPr>
            <w:r>
              <w:t>2,40</w:t>
            </w:r>
          </w:p>
        </w:tc>
        <w:tc>
          <w:tcPr>
            <w:tcW w:w="818" w:type="pct"/>
            <w:vAlign w:val="center"/>
          </w:tcPr>
          <w:p w14:paraId="5B13E1B1" w14:textId="5A9E5094" w:rsidR="00C044E9" w:rsidRPr="00D13F96" w:rsidRDefault="00B423DD" w:rsidP="00B423DD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72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7</w:t>
            </w:r>
            <w:r w:rsidRPr="00D13F96">
              <w:rPr>
                <w:b/>
              </w:rPr>
              <w:t>%</w:t>
            </w:r>
          </w:p>
        </w:tc>
      </w:tr>
      <w:tr w:rsidR="00C044E9" w14:paraId="24258A86" w14:textId="77777777" w:rsidTr="00F876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13E89E4" w14:textId="2C32F9FE" w:rsidR="00C044E9" w:rsidRDefault="00B423DD" w:rsidP="00C044E9">
            <w:pPr>
              <w:jc w:val="center"/>
            </w:pPr>
            <w:r>
              <w:t>Καταστήματα ειδικής  κατηγορίας</w:t>
            </w:r>
          </w:p>
        </w:tc>
        <w:tc>
          <w:tcPr>
            <w:tcW w:w="9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3CE9AA" w14:textId="3AAD5107" w:rsidR="00C044E9" w:rsidRDefault="00B423DD" w:rsidP="00C044E9">
            <w:pPr>
              <w:pStyle w:val="DecimalAligned"/>
              <w:jc w:val="center"/>
            </w:pPr>
            <w:r>
              <w:t>3,24</w:t>
            </w:r>
          </w:p>
        </w:tc>
        <w:tc>
          <w:tcPr>
            <w:tcW w:w="6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DCDF92" w14:textId="260A4586" w:rsidR="00C044E9" w:rsidRDefault="00B423DD" w:rsidP="00C044E9">
            <w:pPr>
              <w:pStyle w:val="DecimalAligned"/>
              <w:jc w:val="center"/>
            </w:pPr>
            <w:r>
              <w:t>4,40</w:t>
            </w:r>
          </w:p>
        </w:tc>
        <w:tc>
          <w:tcPr>
            <w:tcW w:w="8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79C273" w14:textId="50D3D475" w:rsidR="00C044E9" w:rsidRPr="00D13F96" w:rsidRDefault="00B423DD" w:rsidP="00B423DD">
            <w:pPr>
              <w:pStyle w:val="DecimalAligned"/>
              <w:jc w:val="center"/>
              <w:rPr>
                <w:b/>
              </w:rPr>
            </w:pPr>
            <w:r>
              <w:rPr>
                <w:b/>
              </w:rPr>
              <w:t>Αύξηση 23</w:t>
            </w:r>
            <w:r w:rsidRPr="00D13F96">
              <w:rPr>
                <w:b/>
              </w:rPr>
              <w:t>,</w:t>
            </w:r>
            <w:r>
              <w:rPr>
                <w:b/>
              </w:rPr>
              <w:t>5</w:t>
            </w:r>
            <w:r w:rsidRPr="00D13F96">
              <w:rPr>
                <w:b/>
              </w:rPr>
              <w:t>%</w:t>
            </w:r>
          </w:p>
        </w:tc>
      </w:tr>
    </w:tbl>
    <w:p w14:paraId="4BE8C171" w14:textId="77777777" w:rsidR="00B423DD" w:rsidRDefault="00B423DD"/>
    <w:p w14:paraId="4A88E8E7" w14:textId="77777777" w:rsidR="00F876ED" w:rsidRPr="00D06791" w:rsidRDefault="00F876ED" w:rsidP="00F876ED">
      <w:pPr>
        <w:jc w:val="both"/>
        <w:rPr>
          <w:rFonts w:eastAsia="Calibri;Arial"/>
          <w:color w:val="000000"/>
        </w:rPr>
      </w:pPr>
      <w:r w:rsidRPr="00D06791">
        <w:rPr>
          <w:rFonts w:eastAsia="Calibri;Arial"/>
          <w:color w:val="000000"/>
        </w:rPr>
        <w:t>Ο συντελεστής για το Δημοτικό Φόρο να παραμείνει στα 0,30 €/τ.μ. και για το ΤΑΠ  στα 0,25%</w:t>
      </w:r>
      <w:r w:rsidRPr="00D06791">
        <w:rPr>
          <w:rFonts w:eastAsia="Calibri;Arial"/>
          <w:color w:val="000000"/>
          <w:vertAlign w:val="subscript"/>
        </w:rPr>
        <w:t>ο</w:t>
      </w:r>
      <w:r w:rsidRPr="00D06791">
        <w:rPr>
          <w:rFonts w:eastAsia="Calibri;Arial"/>
          <w:color w:val="000000"/>
        </w:rPr>
        <w:t xml:space="preserve"> όπως ισχύουν ήδη.</w:t>
      </w:r>
    </w:p>
    <w:p w14:paraId="5D08E1AB" w14:textId="77777777" w:rsidR="00DA3927" w:rsidRDefault="00F876ED">
      <w:pPr>
        <w:rPr>
          <w:b/>
        </w:rPr>
      </w:pPr>
      <w:r>
        <w:rPr>
          <w:b/>
        </w:rPr>
        <w:t xml:space="preserve"> </w:t>
      </w:r>
    </w:p>
    <w:p w14:paraId="2818F2DA" w14:textId="77777777" w:rsidR="00DA3927" w:rsidRDefault="00DA3927">
      <w:pPr>
        <w:rPr>
          <w:b/>
        </w:rPr>
      </w:pPr>
    </w:p>
    <w:p w14:paraId="274CF272" w14:textId="5C00E776" w:rsidR="005D1A85" w:rsidRPr="00F876ED" w:rsidRDefault="00DA3927">
      <w:pPr>
        <w:rPr>
          <w:b/>
        </w:rPr>
      </w:pPr>
      <w:r>
        <w:rPr>
          <w:b/>
        </w:rPr>
        <w:t xml:space="preserve"> Η </w:t>
      </w:r>
      <w:r w:rsidR="006701B4" w:rsidRPr="00F876ED">
        <w:rPr>
          <w:b/>
        </w:rPr>
        <w:t>αύξηση</w:t>
      </w:r>
      <w:r>
        <w:rPr>
          <w:b/>
        </w:rPr>
        <w:t xml:space="preserve"> </w:t>
      </w:r>
      <w:r w:rsidR="006701B4" w:rsidRPr="00F876ED">
        <w:rPr>
          <w:b/>
        </w:rPr>
        <w:t xml:space="preserve"> </w:t>
      </w:r>
      <w:r w:rsidR="00F876ED">
        <w:rPr>
          <w:b/>
        </w:rPr>
        <w:t>προέκυψ</w:t>
      </w:r>
      <w:r>
        <w:rPr>
          <w:b/>
        </w:rPr>
        <w:t>ε</w:t>
      </w:r>
      <w:r w:rsidR="00F876ED">
        <w:rPr>
          <w:b/>
        </w:rPr>
        <w:t xml:space="preserve"> από </w:t>
      </w:r>
      <w:r>
        <w:rPr>
          <w:b/>
        </w:rPr>
        <w:t xml:space="preserve">την </w:t>
      </w:r>
    </w:p>
    <w:p w14:paraId="03F86E21" w14:textId="77777777" w:rsidR="00DA3927" w:rsidRDefault="00DA3927"/>
    <w:p w14:paraId="53459C85" w14:textId="29BC7402" w:rsidR="006701B4" w:rsidRDefault="00F876ED">
      <w:r>
        <w:t xml:space="preserve">μεταφορά της δαπάνης λειτουργίας της Μονάδας </w:t>
      </w:r>
      <w:proofErr w:type="spellStart"/>
      <w:r>
        <w:t>Προεπεξεργασίας</w:t>
      </w:r>
      <w:proofErr w:type="spellEnd"/>
      <w:r>
        <w:t xml:space="preserve"> Απορριμμάτων </w:t>
      </w:r>
      <w:r w:rsidR="005D1A85">
        <w:t xml:space="preserve">εξ ολοκλήρου στο Δήμο </w:t>
      </w:r>
    </w:p>
    <w:p w14:paraId="3202FF08" w14:textId="0F22D48D" w:rsidR="005D1A85" w:rsidRPr="001667B0" w:rsidRDefault="005D1A85">
      <w:pPr>
        <w:rPr>
          <w:b/>
          <w:bCs/>
        </w:rPr>
      </w:pPr>
      <w:r w:rsidRPr="001667B0">
        <w:rPr>
          <w:b/>
          <w:bCs/>
        </w:rPr>
        <w:t xml:space="preserve">Τι </w:t>
      </w:r>
      <w:r w:rsidR="006C3F23">
        <w:rPr>
          <w:b/>
          <w:bCs/>
        </w:rPr>
        <w:t xml:space="preserve"> </w:t>
      </w:r>
      <w:r w:rsidRPr="001667B0">
        <w:rPr>
          <w:b/>
          <w:bCs/>
        </w:rPr>
        <w:t>σημαίνουν</w:t>
      </w:r>
      <w:r w:rsidR="006C3F23">
        <w:rPr>
          <w:b/>
          <w:bCs/>
        </w:rPr>
        <w:t xml:space="preserve"> </w:t>
      </w:r>
      <w:r w:rsidRPr="001667B0">
        <w:rPr>
          <w:b/>
          <w:bCs/>
        </w:rPr>
        <w:t xml:space="preserve"> τώρα</w:t>
      </w:r>
      <w:r w:rsidR="006C3F23">
        <w:rPr>
          <w:b/>
          <w:bCs/>
        </w:rPr>
        <w:t xml:space="preserve"> </w:t>
      </w:r>
      <w:r w:rsidRPr="001667B0">
        <w:rPr>
          <w:b/>
          <w:bCs/>
        </w:rPr>
        <w:t xml:space="preserve"> αυτά </w:t>
      </w:r>
    </w:p>
    <w:p w14:paraId="3E9E322A" w14:textId="70EF39F7" w:rsidR="00F876ED" w:rsidRPr="00220C17" w:rsidRDefault="00220C17" w:rsidP="00220C17">
      <w:pPr>
        <w:pStyle w:val="a3"/>
        <w:numPr>
          <w:ilvl w:val="0"/>
          <w:numId w:val="2"/>
        </w:numPr>
      </w:pPr>
      <w:r>
        <w:t>Ιδία συμμετοχή στο νέο έργο κατασκευής της Μονάδας Επεξεργασίας Απορριμμάτων (ΜΕΑ) έχει προκηρυχθεί –</w:t>
      </w:r>
      <w:r w:rsidRPr="00220C17">
        <w:rPr>
          <w:b/>
        </w:rPr>
        <w:t>316.701,95 €</w:t>
      </w:r>
      <w:r>
        <w:t xml:space="preserve"> </w:t>
      </w:r>
      <w:r w:rsidRPr="00220C17">
        <w:rPr>
          <w:b/>
        </w:rPr>
        <w:t>(κόστος για το 2022)</w:t>
      </w:r>
    </w:p>
    <w:p w14:paraId="248FBF27" w14:textId="0DA6B23E" w:rsidR="00220C17" w:rsidRPr="00220C17" w:rsidRDefault="00220C17" w:rsidP="00220C17">
      <w:pPr>
        <w:pStyle w:val="a3"/>
        <w:numPr>
          <w:ilvl w:val="0"/>
          <w:numId w:val="2"/>
        </w:numPr>
      </w:pPr>
      <w:r>
        <w:t xml:space="preserve">Ταφή Απορριμμάτων στον Χώρο Υγειονομικής Ταφής στους Πέρα </w:t>
      </w:r>
      <w:proofErr w:type="spellStart"/>
      <w:r>
        <w:t>Γαλήνους</w:t>
      </w:r>
      <w:proofErr w:type="spellEnd"/>
      <w:r>
        <w:t xml:space="preserve"> </w:t>
      </w:r>
      <w:r w:rsidRPr="00220C17">
        <w:rPr>
          <w:b/>
        </w:rPr>
        <w:t>1.856.000,52 €  ( 68.740,27 τόνοι Χ 27</w:t>
      </w:r>
      <w:r>
        <w:rPr>
          <w:b/>
        </w:rPr>
        <w:t xml:space="preserve"> €/τόνο</w:t>
      </w:r>
      <w:r w:rsidRPr="00220C17">
        <w:rPr>
          <w:b/>
        </w:rPr>
        <w:t xml:space="preserve"> )</w:t>
      </w:r>
    </w:p>
    <w:p w14:paraId="52D0CC24" w14:textId="70EF7FE9" w:rsidR="00220C17" w:rsidRDefault="00220C17" w:rsidP="00220C17">
      <w:pPr>
        <w:pStyle w:val="a3"/>
        <w:numPr>
          <w:ilvl w:val="0"/>
          <w:numId w:val="2"/>
        </w:numPr>
      </w:pPr>
      <w:r w:rsidRPr="00220C17">
        <w:t>Συμμετοχή του Δήμου Ηρακλείου στις Λειτουργικές Δαπάνες του ΕΣΔΑΚ</w:t>
      </w:r>
      <w:r>
        <w:rPr>
          <w:b/>
        </w:rPr>
        <w:t xml:space="preserve"> – κόστος </w:t>
      </w:r>
      <w:r>
        <w:t>262.342,58€</w:t>
      </w:r>
      <w:r w:rsidR="00FB5CF5">
        <w:t xml:space="preserve"> </w:t>
      </w:r>
    </w:p>
    <w:p w14:paraId="2F0AF9C4" w14:textId="589B9250" w:rsidR="00FB5CF5" w:rsidRDefault="00FB5CF5" w:rsidP="00220C17">
      <w:pPr>
        <w:pStyle w:val="a3"/>
        <w:numPr>
          <w:ilvl w:val="0"/>
          <w:numId w:val="2"/>
        </w:numPr>
      </w:pPr>
      <w:r>
        <w:t>Κόστος λειτουργίας για το 2022 της ΜΠΑ   2.158.679,14</w:t>
      </w:r>
    </w:p>
    <w:p w14:paraId="6348F4AE" w14:textId="4E790F73" w:rsidR="00FB5CF5" w:rsidRPr="00220C17" w:rsidRDefault="00CA7D44" w:rsidP="00220C17">
      <w:pPr>
        <w:pStyle w:val="a3"/>
        <w:numPr>
          <w:ilvl w:val="0"/>
          <w:numId w:val="2"/>
        </w:numPr>
      </w:pPr>
      <w:r>
        <w:t>Προαίρεση  διαχείρ</w:t>
      </w:r>
      <w:r w:rsidR="00C15741">
        <w:t>ι</w:t>
      </w:r>
      <w:r>
        <w:t>σης  983.222,54</w:t>
      </w:r>
      <w:r w:rsidR="00FB5CF5">
        <w:t xml:space="preserve"> </w:t>
      </w:r>
    </w:p>
    <w:p w14:paraId="7F79F32A" w14:textId="5C845D1A" w:rsidR="00071921" w:rsidRDefault="00071921">
      <w:pPr>
        <w:rPr>
          <w:b/>
          <w:bCs/>
        </w:rPr>
      </w:pPr>
      <w:r w:rsidRPr="001667B0">
        <w:rPr>
          <w:b/>
          <w:bCs/>
        </w:rPr>
        <w:t>Α</w:t>
      </w:r>
      <w:r w:rsidR="00220C17">
        <w:rPr>
          <w:b/>
          <w:bCs/>
        </w:rPr>
        <w:t xml:space="preserve">πό τα παραπάνω </w:t>
      </w:r>
      <w:r w:rsidRPr="001667B0">
        <w:rPr>
          <w:b/>
          <w:bCs/>
        </w:rPr>
        <w:t xml:space="preserve">το σύνολο είναι </w:t>
      </w:r>
      <w:r w:rsidR="00F77170">
        <w:rPr>
          <w:b/>
          <w:bCs/>
        </w:rPr>
        <w:t>5.576.316,73 Ε</w:t>
      </w:r>
      <w:r w:rsidR="00220C17">
        <w:rPr>
          <w:b/>
          <w:bCs/>
        </w:rPr>
        <w:t xml:space="preserve"> </w:t>
      </w:r>
      <w:r w:rsidRPr="001667B0">
        <w:rPr>
          <w:b/>
          <w:bCs/>
        </w:rPr>
        <w:t xml:space="preserve">για το 2022 </w:t>
      </w:r>
      <w:r w:rsidR="001667B0" w:rsidRPr="001667B0">
        <w:rPr>
          <w:b/>
          <w:bCs/>
        </w:rPr>
        <w:t xml:space="preserve">( το 2021  η πρόβλεψη </w:t>
      </w:r>
      <w:r w:rsidR="00C15741">
        <w:rPr>
          <w:b/>
          <w:bCs/>
        </w:rPr>
        <w:t xml:space="preserve">ήταν </w:t>
      </w:r>
      <w:r w:rsidR="001667B0" w:rsidRPr="001667B0">
        <w:rPr>
          <w:b/>
          <w:bCs/>
        </w:rPr>
        <w:t xml:space="preserve"> για δαπάνη   1.900.000,00 ) </w:t>
      </w:r>
    </w:p>
    <w:p w14:paraId="622A0653" w14:textId="3AAE48B5" w:rsidR="001667B0" w:rsidRPr="0042663E" w:rsidRDefault="001667B0">
      <w:pPr>
        <w:rPr>
          <w:b/>
          <w:bCs/>
          <w:i/>
          <w:iCs/>
        </w:rPr>
      </w:pPr>
      <w:r w:rsidRPr="00574B23">
        <w:rPr>
          <w:bCs/>
          <w:iCs/>
        </w:rPr>
        <w:t>Α</w:t>
      </w:r>
      <w:r w:rsidR="00220C17" w:rsidRPr="00574B23">
        <w:rPr>
          <w:bCs/>
          <w:iCs/>
        </w:rPr>
        <w:t>ξίζει να σημειωθεί</w:t>
      </w:r>
      <w:r w:rsidRPr="00574B23">
        <w:rPr>
          <w:bCs/>
          <w:iCs/>
        </w:rPr>
        <w:t xml:space="preserve"> ότι </w:t>
      </w:r>
      <w:r w:rsidR="00220C17" w:rsidRPr="00574B23">
        <w:rPr>
          <w:bCs/>
          <w:iCs/>
        </w:rPr>
        <w:t xml:space="preserve">για </w:t>
      </w:r>
      <w:r w:rsidRPr="00574B23">
        <w:rPr>
          <w:bCs/>
          <w:iCs/>
        </w:rPr>
        <w:t xml:space="preserve">το τέλος ταφής </w:t>
      </w:r>
      <w:r w:rsidR="00220C17" w:rsidRPr="00574B23">
        <w:rPr>
          <w:bCs/>
          <w:iCs/>
        </w:rPr>
        <w:t>έχει ζητηθεί από όλους του Δήμους και την ΚΕΔΕ να αναβληθεί η έναρξη ισχύος</w:t>
      </w:r>
      <w:r w:rsidR="00574B23" w:rsidRPr="00574B23">
        <w:rPr>
          <w:bCs/>
          <w:iCs/>
        </w:rPr>
        <w:t>,</w:t>
      </w:r>
      <w:r w:rsidR="00220C17" w:rsidRPr="00574B23">
        <w:rPr>
          <w:bCs/>
          <w:iCs/>
        </w:rPr>
        <w:t xml:space="preserve"> έως ότου ολοκληρωθούν </w:t>
      </w:r>
      <w:r w:rsidRPr="00574B23">
        <w:rPr>
          <w:bCs/>
          <w:iCs/>
        </w:rPr>
        <w:t>οι κατασκευές όλων των απαραίτητων έργων υποδομής διαχείρισης</w:t>
      </w:r>
      <w:r w:rsidR="00574B23" w:rsidRPr="00574B23">
        <w:rPr>
          <w:bCs/>
          <w:iCs/>
        </w:rPr>
        <w:t xml:space="preserve"> οι οποίες έχουν καθυστερήσει αρκετά χρόνια. Στην περίπτωση του Ηρακλείου</w:t>
      </w:r>
      <w:r w:rsidR="0042663E" w:rsidRPr="00574B23">
        <w:rPr>
          <w:bCs/>
          <w:iCs/>
        </w:rPr>
        <w:t>,</w:t>
      </w:r>
      <w:r w:rsidR="00574B23" w:rsidRPr="00574B23">
        <w:rPr>
          <w:bCs/>
          <w:iCs/>
        </w:rPr>
        <w:t xml:space="preserve"> για</w:t>
      </w:r>
      <w:r w:rsidR="0042663E" w:rsidRPr="00574B23">
        <w:rPr>
          <w:bCs/>
          <w:iCs/>
        </w:rPr>
        <w:t xml:space="preserve"> το έργο της </w:t>
      </w:r>
      <w:r w:rsidR="00574B23" w:rsidRPr="00574B23">
        <w:rPr>
          <w:bCs/>
          <w:iCs/>
        </w:rPr>
        <w:t xml:space="preserve">κατασκευής της </w:t>
      </w:r>
      <w:r w:rsidR="0042663E" w:rsidRPr="00574B23">
        <w:rPr>
          <w:bCs/>
          <w:iCs/>
        </w:rPr>
        <w:t>ΜΕΑ δεν έχει λήξει ακόμα ούτε η διαγωνιστική διαδικασία</w:t>
      </w:r>
      <w:r w:rsidR="00574B23">
        <w:rPr>
          <w:b/>
          <w:bCs/>
          <w:i/>
          <w:iCs/>
        </w:rPr>
        <w:t xml:space="preserve"> . ΔΗΛΑΔΗ Ο ΔΗΜΟΣ  ΗΡΑΚΛΕΙΟΥ </w:t>
      </w:r>
      <w:r w:rsidR="0042663E" w:rsidRPr="0042663E">
        <w:rPr>
          <w:b/>
          <w:bCs/>
          <w:i/>
          <w:iCs/>
        </w:rPr>
        <w:t xml:space="preserve">ΘΑ </w:t>
      </w:r>
      <w:r w:rsidR="00574B23">
        <w:rPr>
          <w:b/>
          <w:bCs/>
          <w:i/>
          <w:iCs/>
        </w:rPr>
        <w:t>ΕΠΙΒΑΡΥΝΕΤΑΙ ΓΙΑ ΜΙΑ ΤΡΙΕΤΙΑ ΜΕΓΑΛΑ ΠΟΣΑ ΜΕΤΑΦΕΡΟΝΤΑΣ ΤΟ ΚΟΣΤΟΣ ΑΥΤΟ ΣΤΟΥ ΔΗΜΟΤΕΣ (</w:t>
      </w:r>
      <w:r w:rsidR="0042663E" w:rsidRPr="0042663E">
        <w:rPr>
          <w:b/>
          <w:bCs/>
          <w:i/>
          <w:iCs/>
        </w:rPr>
        <w:t xml:space="preserve">ΑΠΑΙΤΕΙΤΑΙ ΚΥΒΕΡΝΗΤΙΚΗ ΛΥΣΗ )  </w:t>
      </w:r>
    </w:p>
    <w:p w14:paraId="77A86A90" w14:textId="685D3A16" w:rsidR="003C4579" w:rsidRDefault="00574B23">
      <w:r>
        <w:t>Επίσης όπως προαναφέρθηκε μεταφέρεται στο Δήμο</w:t>
      </w:r>
      <w:r w:rsidR="0042663E">
        <w:t xml:space="preserve"> Ηρακλείου </w:t>
      </w:r>
      <w:r>
        <w:t>το κόστος</w:t>
      </w:r>
      <w:r w:rsidR="0042663E">
        <w:t xml:space="preserve"> </w:t>
      </w:r>
      <w:r>
        <w:t xml:space="preserve">της </w:t>
      </w:r>
      <w:r w:rsidR="0042663E">
        <w:t>λειτουργία</w:t>
      </w:r>
      <w:r>
        <w:t>ς της μονάδας</w:t>
      </w:r>
      <w:r w:rsidR="0042663E">
        <w:t xml:space="preserve"> ΜΠΑ</w:t>
      </w:r>
      <w:r>
        <w:t xml:space="preserve"> λόγω</w:t>
      </w:r>
      <w:r w:rsidR="003C4579">
        <w:t xml:space="preserve"> </w:t>
      </w:r>
      <w:r>
        <w:t xml:space="preserve"> μη</w:t>
      </w:r>
      <w:r w:rsidR="003C4579">
        <w:t xml:space="preserve"> </w:t>
      </w:r>
      <w:r>
        <w:t xml:space="preserve"> </w:t>
      </w:r>
      <w:proofErr w:type="spellStart"/>
      <w:r>
        <w:t>επιλεξιμότητας</w:t>
      </w:r>
      <w:proofErr w:type="spellEnd"/>
      <w:r w:rsidR="003C4579">
        <w:t xml:space="preserve"> </w:t>
      </w:r>
      <w:r>
        <w:t xml:space="preserve"> της δαπάνης.</w:t>
      </w:r>
    </w:p>
    <w:p w14:paraId="135A5A99" w14:textId="6BA6C7B6" w:rsidR="003C4579" w:rsidRPr="003C4579" w:rsidRDefault="003C4579" w:rsidP="003C4579">
      <w:pPr>
        <w:spacing w:after="0"/>
        <w:rPr>
          <w:b/>
          <w:bCs/>
        </w:rPr>
      </w:pPr>
      <w:r w:rsidRPr="003C4579">
        <w:rPr>
          <w:b/>
          <w:bCs/>
        </w:rPr>
        <w:t xml:space="preserve">Και </w:t>
      </w:r>
      <w:r w:rsidR="00574B23" w:rsidRPr="003C4579">
        <w:rPr>
          <w:b/>
          <w:bCs/>
        </w:rPr>
        <w:t xml:space="preserve">για το 2021 προέκυψε μία επιπλέον δαπάνη ύψους </w:t>
      </w:r>
      <w:r w:rsidR="00F77170">
        <w:rPr>
          <w:b/>
          <w:bCs/>
        </w:rPr>
        <w:t xml:space="preserve"> </w:t>
      </w:r>
      <w:r w:rsidR="00974DE6" w:rsidRPr="003C4579">
        <w:rPr>
          <w:b/>
          <w:bCs/>
        </w:rPr>
        <w:t xml:space="preserve">736.036,86 </w:t>
      </w:r>
      <w:r w:rsidR="00574B23" w:rsidRPr="003C4579">
        <w:rPr>
          <w:b/>
          <w:bCs/>
        </w:rPr>
        <w:t xml:space="preserve">€ </w:t>
      </w:r>
    </w:p>
    <w:p w14:paraId="627F0E22" w14:textId="2E8A0E42" w:rsidR="0042663E" w:rsidRDefault="00574B23" w:rsidP="003C4579">
      <w:pPr>
        <w:spacing w:after="0"/>
      </w:pPr>
      <w:r w:rsidRPr="003C4579">
        <w:rPr>
          <w:b/>
          <w:bCs/>
        </w:rPr>
        <w:t xml:space="preserve">και για το 2022 ύψους </w:t>
      </w:r>
      <w:r w:rsidR="0042663E" w:rsidRPr="003C4579">
        <w:rPr>
          <w:b/>
          <w:bCs/>
        </w:rPr>
        <w:t>2.158.679,14</w:t>
      </w:r>
      <w:r w:rsidRPr="003C4579">
        <w:rPr>
          <w:b/>
          <w:bCs/>
        </w:rPr>
        <w:t xml:space="preserve"> €.</w:t>
      </w:r>
      <w:r w:rsidR="00F77170">
        <w:rPr>
          <w:b/>
          <w:bCs/>
        </w:rPr>
        <w:t xml:space="preserve"> Και προαίρεση  διαχείρ</w:t>
      </w:r>
      <w:r w:rsidR="00C15741">
        <w:rPr>
          <w:b/>
          <w:bCs/>
        </w:rPr>
        <w:t>ι</w:t>
      </w:r>
      <w:r w:rsidR="00F77170">
        <w:rPr>
          <w:b/>
          <w:bCs/>
        </w:rPr>
        <w:t>σης  983.222,54</w:t>
      </w:r>
      <w:r w:rsidR="003C4579">
        <w:rPr>
          <w:b/>
          <w:bCs/>
        </w:rPr>
        <w:t xml:space="preserve"> </w:t>
      </w:r>
    </w:p>
    <w:p w14:paraId="54584A77" w14:textId="77777777" w:rsidR="003C4579" w:rsidRDefault="003C4579" w:rsidP="00574B23"/>
    <w:p w14:paraId="721F2B49" w14:textId="44522337" w:rsidR="00FF7D53" w:rsidRDefault="00574B23" w:rsidP="00574B23">
      <w:r>
        <w:t>Έτσι ο Δήμος Ηρακλείου καλείται να αναλάβει τη</w:t>
      </w:r>
      <w:r w:rsidR="00974DE6">
        <w:t xml:space="preserve"> </w:t>
      </w:r>
      <w:r>
        <w:t>χρηματοδότηση ενός έργου</w:t>
      </w:r>
      <w:r w:rsidR="00974DE6">
        <w:t xml:space="preserve"> </w:t>
      </w:r>
      <w:r>
        <w:t>για το οποίο δεν υπήρχε καμία ενημέρωση του Δημοτικού Συμβουλίου, ενώ είχε δημοπρατηθεί από το 2020 χωρίς από ότι φαίνεται να έχουν εξασφαλιστεί οι απαραίτητες πιστώσεις.</w:t>
      </w:r>
      <w:r w:rsidR="00974DE6">
        <w:t xml:space="preserve"> </w:t>
      </w:r>
    </w:p>
    <w:p w14:paraId="71DB76DD" w14:textId="0A7F2A98" w:rsidR="009B5DDA" w:rsidRPr="009B5DDA" w:rsidRDefault="009B5DDA" w:rsidP="009B5DDA">
      <w:pPr>
        <w:rPr>
          <w:b/>
          <w:bCs/>
          <w:sz w:val="24"/>
          <w:szCs w:val="24"/>
        </w:rPr>
      </w:pPr>
      <w:r w:rsidRPr="009B5DDA">
        <w:rPr>
          <w:b/>
          <w:bCs/>
          <w:sz w:val="24"/>
          <w:szCs w:val="24"/>
        </w:rPr>
        <w:t xml:space="preserve">Η </w:t>
      </w:r>
      <w:r w:rsidR="00574B23">
        <w:rPr>
          <w:b/>
          <w:bCs/>
          <w:sz w:val="24"/>
          <w:szCs w:val="24"/>
        </w:rPr>
        <w:t>Δημοτική αρχή</w:t>
      </w:r>
      <w:r w:rsidRPr="009B5DDA">
        <w:rPr>
          <w:b/>
          <w:bCs/>
          <w:sz w:val="24"/>
          <w:szCs w:val="24"/>
        </w:rPr>
        <w:t xml:space="preserve"> ό</w:t>
      </w:r>
      <w:r w:rsidR="00574B23">
        <w:rPr>
          <w:b/>
          <w:bCs/>
          <w:sz w:val="24"/>
          <w:szCs w:val="24"/>
        </w:rPr>
        <w:t xml:space="preserve">μως </w:t>
      </w:r>
      <w:r w:rsidR="00F3637B">
        <w:rPr>
          <w:b/>
          <w:bCs/>
          <w:sz w:val="24"/>
          <w:szCs w:val="24"/>
        </w:rPr>
        <w:t xml:space="preserve">αποφάσισε να </w:t>
      </w:r>
      <w:r w:rsidR="00574B23">
        <w:rPr>
          <w:b/>
          <w:bCs/>
          <w:sz w:val="24"/>
          <w:szCs w:val="24"/>
        </w:rPr>
        <w:t xml:space="preserve">μεταφέρει στο 2022 και το </w:t>
      </w:r>
      <w:r w:rsidRPr="009B5DDA">
        <w:rPr>
          <w:b/>
          <w:bCs/>
          <w:sz w:val="24"/>
          <w:szCs w:val="24"/>
        </w:rPr>
        <w:t>υπόλοιπο κόστο</w:t>
      </w:r>
      <w:r w:rsidR="00F3637B">
        <w:rPr>
          <w:b/>
          <w:bCs/>
          <w:sz w:val="24"/>
          <w:szCs w:val="24"/>
        </w:rPr>
        <w:t xml:space="preserve">υς του 2021 ( ενώ κατά τη γνώμη μας έπρεπε να προχωρήσει σε </w:t>
      </w:r>
      <w:r w:rsidRPr="009B5DDA">
        <w:rPr>
          <w:b/>
          <w:bCs/>
          <w:sz w:val="24"/>
          <w:szCs w:val="24"/>
        </w:rPr>
        <w:t xml:space="preserve">αναμόρφωση </w:t>
      </w:r>
      <w:r w:rsidR="00F3637B">
        <w:rPr>
          <w:b/>
          <w:bCs/>
          <w:sz w:val="24"/>
          <w:szCs w:val="24"/>
        </w:rPr>
        <w:t xml:space="preserve">του τρέχοντος </w:t>
      </w:r>
      <w:r w:rsidR="00F3637B" w:rsidRPr="009B5DDA">
        <w:rPr>
          <w:b/>
          <w:bCs/>
          <w:sz w:val="24"/>
          <w:szCs w:val="24"/>
        </w:rPr>
        <w:t>προϋπολογισμού</w:t>
      </w:r>
      <w:r w:rsidRPr="009B5DDA">
        <w:rPr>
          <w:b/>
          <w:bCs/>
          <w:sz w:val="24"/>
          <w:szCs w:val="24"/>
        </w:rPr>
        <w:t xml:space="preserve"> </w:t>
      </w:r>
      <w:r w:rsidR="00F3637B">
        <w:rPr>
          <w:b/>
          <w:bCs/>
          <w:sz w:val="24"/>
          <w:szCs w:val="24"/>
        </w:rPr>
        <w:t xml:space="preserve">του </w:t>
      </w:r>
      <w:r w:rsidRPr="009B5DDA">
        <w:rPr>
          <w:b/>
          <w:bCs/>
          <w:sz w:val="24"/>
          <w:szCs w:val="24"/>
        </w:rPr>
        <w:t>2021 και να το ενσωματώσει</w:t>
      </w:r>
      <w:r w:rsidR="00F3637B">
        <w:rPr>
          <w:b/>
          <w:bCs/>
          <w:sz w:val="24"/>
          <w:szCs w:val="24"/>
        </w:rPr>
        <w:t xml:space="preserve"> εκεί</w:t>
      </w:r>
      <w:r w:rsidRPr="009B5DDA">
        <w:rPr>
          <w:b/>
          <w:bCs/>
          <w:sz w:val="24"/>
          <w:szCs w:val="24"/>
        </w:rPr>
        <w:t xml:space="preserve"> ) </w:t>
      </w:r>
    </w:p>
    <w:p w14:paraId="27C2DBFC" w14:textId="77777777" w:rsidR="00DA3927" w:rsidRDefault="00DA3927" w:rsidP="009B5DDA"/>
    <w:p w14:paraId="6F2F2FFE" w14:textId="6CA597F1" w:rsidR="00390606" w:rsidRDefault="00F3637B" w:rsidP="009B5DDA">
      <w:r>
        <w:t xml:space="preserve">Από όλα όσα προαναφέρθηκαν η Δημοτική Αρχή σύμφωνα με τον προγραμματισμό της διαμορφώνει το ύψος των δαπανών για τις ανταποδοτικές υπηρεσίες ηλεκτροφωτισμού και καθαριότητας </w:t>
      </w:r>
      <w:r w:rsidR="009B5DDA">
        <w:t xml:space="preserve">για το 2022 στο </w:t>
      </w:r>
      <w:r>
        <w:t>ποσό των</w:t>
      </w:r>
      <w:r w:rsidR="00390606">
        <w:t xml:space="preserve"> </w:t>
      </w:r>
      <w:r w:rsidR="009B5DDA" w:rsidRPr="00390606">
        <w:rPr>
          <w:b/>
          <w:bCs/>
        </w:rPr>
        <w:t>24.23</w:t>
      </w:r>
      <w:r>
        <w:rPr>
          <w:b/>
          <w:bCs/>
        </w:rPr>
        <w:t xml:space="preserve">0.010,65 €, </w:t>
      </w:r>
      <w:r w:rsidRPr="00F3637B">
        <w:rPr>
          <w:bCs/>
        </w:rPr>
        <w:t>ενώ τα</w:t>
      </w:r>
      <w:r>
        <w:t xml:space="preserve"> </w:t>
      </w:r>
      <w:proofErr w:type="spellStart"/>
      <w:r>
        <w:t>προϋπολογιζόμενα</w:t>
      </w:r>
      <w:proofErr w:type="spellEnd"/>
      <w:r>
        <w:t xml:space="preserve"> έσοδα θα φτάσουν στο ποσό των </w:t>
      </w:r>
      <w:r w:rsidR="00390606" w:rsidRPr="00390606">
        <w:rPr>
          <w:b/>
          <w:bCs/>
        </w:rPr>
        <w:t>19.521.604,24</w:t>
      </w:r>
      <w:r>
        <w:t xml:space="preserve">  ευρώ. Έτσι, προκύπτει μια διαφορά </w:t>
      </w:r>
      <w:r w:rsidRPr="00F3637B">
        <w:rPr>
          <w:b/>
        </w:rPr>
        <w:lastRenderedPageBreak/>
        <w:t>4.708.406,41€</w:t>
      </w:r>
      <w:r w:rsidR="00390606">
        <w:t xml:space="preserve"> </w:t>
      </w:r>
      <w:r>
        <w:t>η οποία</w:t>
      </w:r>
      <w:r w:rsidR="00390606">
        <w:t xml:space="preserve"> θ</w:t>
      </w:r>
      <w:r>
        <w:t xml:space="preserve">α καλυφθεί μέσω των προτεινόμενων αυξήσεων στα Δημοτικά τέλη. </w:t>
      </w:r>
    </w:p>
    <w:p w14:paraId="39686610" w14:textId="7520542B" w:rsidR="00390606" w:rsidRDefault="00390606" w:rsidP="009B5DDA"/>
    <w:p w14:paraId="7449E616" w14:textId="75626295" w:rsidR="00390606" w:rsidRDefault="00133B87" w:rsidP="009B5DDA">
      <w:pPr>
        <w:rPr>
          <w:b/>
          <w:bCs/>
        </w:rPr>
      </w:pPr>
      <w:r>
        <w:rPr>
          <w:b/>
          <w:bCs/>
        </w:rPr>
        <w:t xml:space="preserve"> </w:t>
      </w:r>
      <w:r w:rsidR="00E45EB8">
        <w:rPr>
          <w:b/>
          <w:bCs/>
        </w:rPr>
        <w:t>Η πρόταση μας:</w:t>
      </w:r>
      <w:r>
        <w:rPr>
          <w:b/>
          <w:bCs/>
        </w:rPr>
        <w:t xml:space="preserve"> </w:t>
      </w:r>
    </w:p>
    <w:p w14:paraId="5A6CEEC8" w14:textId="53152256" w:rsidR="00133B87" w:rsidRPr="00D23A69" w:rsidRDefault="00133B87" w:rsidP="009B5DDA">
      <w:pPr>
        <w:rPr>
          <w:b/>
          <w:bCs/>
        </w:rPr>
      </w:pPr>
      <w:r>
        <w:rPr>
          <w:b/>
          <w:bCs/>
        </w:rPr>
        <w:t xml:space="preserve">Έξοδα  ανταποδοτικών </w:t>
      </w:r>
    </w:p>
    <w:p w14:paraId="6BB49CDF" w14:textId="0AF7C38F" w:rsidR="00D23A69" w:rsidRDefault="00D23A69" w:rsidP="009B5DDA">
      <w:r>
        <w:t xml:space="preserve">Το σύνολο </w:t>
      </w:r>
      <w:r w:rsidR="00E45EB8">
        <w:rPr>
          <w:b/>
          <w:bCs/>
        </w:rPr>
        <w:t xml:space="preserve">της πρόβλεψης για τις δαπάνες των ανταποδοτικών υπηρεσιών </w:t>
      </w:r>
      <w:r>
        <w:t>για το 2022 με τις βελ</w:t>
      </w:r>
      <w:r w:rsidR="00E45EB8">
        <w:t>τιώσεις (φαίνονται στο πίνακα</w:t>
      </w:r>
      <w:r>
        <w:t xml:space="preserve">) </w:t>
      </w:r>
      <w:r w:rsidR="00E45EB8">
        <w:t xml:space="preserve">φτάνει </w:t>
      </w:r>
      <w:r>
        <w:t xml:space="preserve">στο ποσό  </w:t>
      </w:r>
      <w:r w:rsidR="00E45EB8">
        <w:rPr>
          <w:b/>
          <w:bCs/>
        </w:rPr>
        <w:t>των 2</w:t>
      </w:r>
      <w:r w:rsidR="008B3791">
        <w:rPr>
          <w:b/>
          <w:bCs/>
        </w:rPr>
        <w:t>1.709.347,00</w:t>
      </w:r>
      <w:r>
        <w:t xml:space="preserve"> </w:t>
      </w:r>
    </w:p>
    <w:p w14:paraId="31FD83F4" w14:textId="77777777" w:rsidR="0070766D" w:rsidRDefault="0070766D" w:rsidP="009B5DDA"/>
    <w:p w14:paraId="00A16221" w14:textId="3FA3C9C3" w:rsidR="00EE32D2" w:rsidRDefault="00EE32D2" w:rsidP="009B5DDA"/>
    <w:p w14:paraId="09801177" w14:textId="446FE92D" w:rsidR="006C3F23" w:rsidRDefault="006C3F23" w:rsidP="009B5DDA"/>
    <w:tbl>
      <w:tblPr>
        <w:tblW w:w="9200" w:type="dxa"/>
        <w:tblLook w:val="04A0" w:firstRow="1" w:lastRow="0" w:firstColumn="1" w:lastColumn="0" w:noHBand="0" w:noVBand="1"/>
      </w:tblPr>
      <w:tblGrid>
        <w:gridCol w:w="960"/>
        <w:gridCol w:w="5740"/>
        <w:gridCol w:w="2500"/>
      </w:tblGrid>
      <w:tr w:rsidR="000C3AB6" w:rsidRPr="000C3AB6" w14:paraId="65390FB8" w14:textId="77777777" w:rsidTr="000C3AB6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DD15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5043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BE7D2" w14:textId="77777777" w:rsidR="000C3AB6" w:rsidRPr="000C3AB6" w:rsidRDefault="000C3AB6" w:rsidP="000C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0C3AB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προταση</w:t>
            </w:r>
            <w:proofErr w:type="spellEnd"/>
            <w:r w:rsidRPr="000C3AB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2022</w:t>
            </w:r>
          </w:p>
        </w:tc>
      </w:tr>
      <w:tr w:rsidR="000C3AB6" w:rsidRPr="000C3AB6" w14:paraId="6789AC07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FB08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F0B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A5A5F" w14:textId="77777777" w:rsidR="000C3AB6" w:rsidRPr="000C3AB6" w:rsidRDefault="000C3AB6" w:rsidP="000C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0C3AB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εξοδων</w:t>
            </w:r>
            <w:proofErr w:type="spellEnd"/>
            <w:r w:rsidRPr="000C3AB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  <w:tr w:rsidR="000C3AB6" w:rsidRPr="000C3AB6" w14:paraId="762F14B1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6741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2DE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408B5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C3AB6" w:rsidRPr="000C3AB6" w14:paraId="526F1F8A" w14:textId="77777777" w:rsidTr="000C3AB6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BDC5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E98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ΚΩΔΙΚΟΙ  ΑΝΑΦΟΡΑΣ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5579F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C3AB6" w:rsidRPr="000C3AB6" w14:paraId="53578437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47E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  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3B4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ΥΠΗΡΕΣΙΕΣ ΚΑΘΑΡΙΟΤΗΤΑΣ ΚΑΙ ΗΛΕΚΤΡΟΦΩΤΙΣΜΟΥ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4477D" w14:textId="135039A9" w:rsidR="000C3AB6" w:rsidRPr="000C3AB6" w:rsidRDefault="008B3791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21.709.347</w:t>
            </w:r>
          </w:p>
        </w:tc>
      </w:tr>
      <w:tr w:rsidR="000C3AB6" w:rsidRPr="000C3AB6" w14:paraId="67F77410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0AD8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 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AA5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ΕΞΟΔΑ ΧΡΗΣΗΣ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A7E2E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16.382.461</w:t>
            </w:r>
          </w:p>
        </w:tc>
      </w:tr>
      <w:tr w:rsidR="000C3AB6" w:rsidRPr="000C3AB6" w14:paraId="75A32BA1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8359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20-60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B8A3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ΑΜΟΙΒΕΣ ΚΑΙ ΕΞΟΔΑ ΠΡΟΣΩΠΙΚΟΥ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30DBF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8.500.000</w:t>
            </w:r>
          </w:p>
        </w:tc>
      </w:tr>
      <w:tr w:rsidR="000C3AB6" w:rsidRPr="000C3AB6" w14:paraId="3D48715C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B820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20-61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682F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ΑΜΟΙΒΕΣ ΑΙΡΕΤΩΝ ΚΑΙ ΤΡΙΤΩΝ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B4A2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24.800</w:t>
            </w:r>
          </w:p>
        </w:tc>
      </w:tr>
      <w:tr w:rsidR="000C3AB6" w:rsidRPr="000C3AB6" w14:paraId="2E72CD01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D57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20-62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10E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ΠΑΡΟΧΕΣ ΤΡΙΤΩΝ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C46BF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3.100.000</w:t>
            </w:r>
          </w:p>
        </w:tc>
      </w:tr>
      <w:tr w:rsidR="000C3AB6" w:rsidRPr="000C3AB6" w14:paraId="2B84F7E7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5B03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20-63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25AF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ΦΟΡΟΙ - ΤΕΛΗ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968C4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27.800</w:t>
            </w:r>
          </w:p>
        </w:tc>
      </w:tr>
      <w:tr w:rsidR="000C3AB6" w:rsidRPr="000C3AB6" w14:paraId="318EF2A9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473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20-64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06DA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ΛΟΙΠΑ ΓΕΝΙΚΑ ΕΞΟΔΑ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9A013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120.000</w:t>
            </w:r>
          </w:p>
        </w:tc>
      </w:tr>
      <w:tr w:rsidR="000C3AB6" w:rsidRPr="000C3AB6" w14:paraId="1B1F3102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1D9A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20-66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F7A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ΔΑΠΑΝΕΣ ΠΡΟΜΗΘΕΙΑΣ ΑΝΑΛΩΣΙΜΩΝ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33FB0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800.000</w:t>
            </w:r>
          </w:p>
        </w:tc>
      </w:tr>
      <w:tr w:rsidR="000C3AB6" w:rsidRPr="000C3AB6" w14:paraId="6E9E53FE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ED20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20-67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9E78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ΠΛΗΡΩΜΕΣ ΜΕΤΑΒΙΒΑΣΕΙΣ ΣΕ ΤΡΙΤΟΥΣ ΠΑΡΑΧΩΡΗΣΕΙΣ 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C4420" w14:textId="3F94D0C2" w:rsidR="000C3AB6" w:rsidRPr="000C3AB6" w:rsidRDefault="00F77170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5.576.316,73</w:t>
            </w:r>
          </w:p>
        </w:tc>
      </w:tr>
      <w:tr w:rsidR="000C3AB6" w:rsidRPr="000C3AB6" w14:paraId="426339CE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2558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20-7 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45D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ΕΠΕΝΔΥΣΕΙΣ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EF3FF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950.000</w:t>
            </w:r>
          </w:p>
        </w:tc>
      </w:tr>
      <w:tr w:rsidR="000C3AB6" w:rsidRPr="000C3AB6" w14:paraId="2716890D" w14:textId="77777777" w:rsidTr="000C3A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834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20-8   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80F5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ΠΛΗΡΩΜΕΣ Π.Ο.Ε. &amp;</w:t>
            </w:r>
            <w:proofErr w:type="spellStart"/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amp</w:t>
            </w:r>
            <w:proofErr w:type="spellEnd"/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; ΛΟΙΠΕΣ ΑΠΟΔΟΣΕΙΣ ΚΑΙ ΠΡΟΒΛΕΨΕΙΣ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730C2" w14:textId="77777777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2.610.430</w:t>
            </w:r>
          </w:p>
        </w:tc>
      </w:tr>
      <w:tr w:rsidR="000C3AB6" w:rsidRPr="000C3AB6" w14:paraId="4870831E" w14:textId="77777777" w:rsidTr="000C3AB6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3E4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C633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65A3C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0C3AB6" w:rsidRPr="000C3AB6" w14:paraId="18CC10AC" w14:textId="77777777" w:rsidTr="000C3AB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F24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F85E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συνολο1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10225" w14:textId="77FB3ECC" w:rsidR="000C3AB6" w:rsidRPr="000C3AB6" w:rsidRDefault="00F77170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21.709.347</w:t>
            </w:r>
          </w:p>
        </w:tc>
      </w:tr>
      <w:tr w:rsidR="000C3AB6" w:rsidRPr="000C3AB6" w14:paraId="400BC386" w14:textId="77777777" w:rsidTr="00F7717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580B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69BBA" w14:textId="290E4044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D10077" w14:textId="4B196A42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C3AB6" w:rsidRPr="000C3AB6" w14:paraId="4A142621" w14:textId="77777777" w:rsidTr="00F7717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8D3E8" w14:textId="77777777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AB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C63828" w14:textId="5EB77050" w:rsidR="000C3AB6" w:rsidRPr="000C3AB6" w:rsidRDefault="000C3AB6" w:rsidP="000C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53E4E" w14:textId="22C445D3" w:rsidR="000C3AB6" w:rsidRPr="000C3AB6" w:rsidRDefault="000C3AB6" w:rsidP="000C3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4514FB2" w14:textId="1AE81BCC" w:rsidR="00AB62F3" w:rsidRDefault="00AB62F3" w:rsidP="009B5DDA"/>
    <w:p w14:paraId="78B0AB2B" w14:textId="504BF53F" w:rsidR="000C3AB6" w:rsidRDefault="001A5B8B" w:rsidP="009B5D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 δημοτικός  φόρος μειώνεται στο ποσό των 0,20 </w:t>
      </w:r>
      <w:r w:rsidR="00B91C3C">
        <w:rPr>
          <w:b/>
          <w:bCs/>
          <w:sz w:val="24"/>
          <w:szCs w:val="24"/>
        </w:rPr>
        <w:t xml:space="preserve"> ε /</w:t>
      </w:r>
      <w:r>
        <w:rPr>
          <w:b/>
          <w:bCs/>
          <w:sz w:val="24"/>
          <w:szCs w:val="24"/>
        </w:rPr>
        <w:t xml:space="preserve">μ2  και το ΤΑΠ  παραμένει ως έχει </w:t>
      </w:r>
    </w:p>
    <w:p w14:paraId="176E348F" w14:textId="77777777" w:rsidR="000C3AB6" w:rsidRDefault="000C3AB6" w:rsidP="009B5DDA">
      <w:pPr>
        <w:rPr>
          <w:b/>
          <w:bCs/>
          <w:sz w:val="24"/>
          <w:szCs w:val="24"/>
        </w:rPr>
      </w:pPr>
    </w:p>
    <w:p w14:paraId="6506C587" w14:textId="2CA37FE5" w:rsidR="0070766D" w:rsidRPr="0070766D" w:rsidRDefault="0070766D" w:rsidP="009B5DDA">
      <w:pPr>
        <w:rPr>
          <w:b/>
          <w:bCs/>
          <w:sz w:val="24"/>
          <w:szCs w:val="24"/>
        </w:rPr>
      </w:pPr>
      <w:r w:rsidRPr="0070766D">
        <w:rPr>
          <w:b/>
          <w:bCs/>
          <w:sz w:val="24"/>
          <w:szCs w:val="24"/>
        </w:rPr>
        <w:t xml:space="preserve">ΕΣΟΔΑ ΑΝΤΑΠΟΔΟΤΙΚΩΝ </w:t>
      </w:r>
    </w:p>
    <w:p w14:paraId="4DCB4FCC" w14:textId="2312A816" w:rsidR="00EE32D2" w:rsidRDefault="0070766D" w:rsidP="009B5DDA">
      <w:r>
        <w:t xml:space="preserve"> </w:t>
      </w:r>
    </w:p>
    <w:p w14:paraId="0D616231" w14:textId="7D18B5B6" w:rsidR="00963D18" w:rsidRDefault="00C36904" w:rsidP="009B5DDA">
      <w:r w:rsidRPr="00C36904">
        <w:rPr>
          <w:b/>
          <w:sz w:val="28"/>
          <w:szCs w:val="28"/>
        </w:rPr>
        <w:t>Οι προτάσεις μας για τ</w:t>
      </w:r>
      <w:r w:rsidR="00963D18" w:rsidRPr="00C36904">
        <w:rPr>
          <w:b/>
          <w:sz w:val="28"/>
          <w:szCs w:val="28"/>
        </w:rPr>
        <w:t xml:space="preserve">ο σύνολο </w:t>
      </w:r>
      <w:r w:rsidR="00963D18" w:rsidRPr="00C36904">
        <w:rPr>
          <w:b/>
          <w:bCs/>
          <w:sz w:val="28"/>
          <w:szCs w:val="28"/>
        </w:rPr>
        <w:t>των εσόδων</w:t>
      </w:r>
      <w:r>
        <w:rPr>
          <w:b/>
          <w:sz w:val="28"/>
          <w:szCs w:val="28"/>
        </w:rPr>
        <w:t>:</w:t>
      </w:r>
      <w:r w:rsidR="00963D18">
        <w:t xml:space="preserve"> </w:t>
      </w:r>
    </w:p>
    <w:p w14:paraId="273CB3F0" w14:textId="5539DBC1" w:rsidR="00963D18" w:rsidRDefault="00C36904" w:rsidP="00C36904">
      <w:pPr>
        <w:pStyle w:val="a3"/>
        <w:numPr>
          <w:ilvl w:val="0"/>
          <w:numId w:val="3"/>
        </w:numPr>
      </w:pPr>
      <w:r>
        <w:t>Από τις προβλέψεις της οικονομικής υπηρεσίας τα αναμενόμενα έσοδα  του 2022   είναι</w:t>
      </w:r>
      <w:r w:rsidR="00963D18">
        <w:t xml:space="preserve"> 19.521.604,24</w:t>
      </w:r>
      <w:r>
        <w:t xml:space="preserve"> €</w:t>
      </w:r>
      <w:r w:rsidR="00963D18">
        <w:t xml:space="preserve">  </w:t>
      </w:r>
      <w:r w:rsidR="0070766D">
        <w:t xml:space="preserve"> ( </w:t>
      </w:r>
      <w:r w:rsidR="00963D18">
        <w:t>με συντελεστές  του 2021</w:t>
      </w:r>
      <w:r w:rsidR="0070766D">
        <w:t xml:space="preserve"> )  </w:t>
      </w:r>
    </w:p>
    <w:p w14:paraId="6C42C314" w14:textId="4A7434AF" w:rsidR="00C36904" w:rsidRDefault="00C36904" w:rsidP="009B5DDA">
      <w:pPr>
        <w:pStyle w:val="a3"/>
        <w:numPr>
          <w:ilvl w:val="0"/>
          <w:numId w:val="3"/>
        </w:numPr>
      </w:pPr>
      <w:r w:rsidRPr="00C36904">
        <w:rPr>
          <w:b/>
        </w:rPr>
        <w:lastRenderedPageBreak/>
        <w:t>Προτείνουμε μία επιβάρυνση 0,0</w:t>
      </w:r>
      <w:r w:rsidR="009C0E79" w:rsidRPr="009C0E79">
        <w:rPr>
          <w:b/>
        </w:rPr>
        <w:t>5</w:t>
      </w:r>
      <w:r w:rsidRPr="00C36904">
        <w:rPr>
          <w:b/>
        </w:rPr>
        <w:t xml:space="preserve"> €/ τετραγωνικό μέτρο στ</w:t>
      </w:r>
      <w:r>
        <w:rPr>
          <w:b/>
        </w:rPr>
        <w:t xml:space="preserve">α οικιακά </w:t>
      </w:r>
      <w:r w:rsidRPr="00C36904">
        <w:rPr>
          <w:b/>
        </w:rPr>
        <w:t xml:space="preserve">και 0.20 €/ τετραγωνικό μέτρο </w:t>
      </w:r>
      <w:r>
        <w:rPr>
          <w:b/>
        </w:rPr>
        <w:t xml:space="preserve">στις υπόλοιπες κατηγορίες το οποίο θα ενισχύσει τα </w:t>
      </w:r>
      <w:r w:rsidR="00480FCC">
        <w:rPr>
          <w:b/>
        </w:rPr>
        <w:t>έσοδα</w:t>
      </w:r>
      <w:r>
        <w:rPr>
          <w:b/>
        </w:rPr>
        <w:t xml:space="preserve"> κατά 1.3</w:t>
      </w:r>
      <w:r w:rsidR="009C0E79" w:rsidRPr="009C0E79">
        <w:rPr>
          <w:b/>
        </w:rPr>
        <w:t>5</w:t>
      </w:r>
      <w:r>
        <w:rPr>
          <w:b/>
        </w:rPr>
        <w:t>0.000 € σύμφωνα με τα στοιχεία που μας έχουν δοθεί</w:t>
      </w:r>
      <w:r>
        <w:t xml:space="preserve">.  </w:t>
      </w:r>
      <w:r w:rsidR="009C0E79" w:rsidRPr="009C0E79">
        <w:t xml:space="preserve"> </w:t>
      </w:r>
      <w:proofErr w:type="gramStart"/>
      <w:r w:rsidR="009C0E79">
        <w:rPr>
          <w:lang w:val="en-US"/>
        </w:rPr>
        <w:t xml:space="preserve">( </w:t>
      </w:r>
      <w:r w:rsidR="009C0E79">
        <w:t>πίνακας</w:t>
      </w:r>
      <w:proofErr w:type="gramEnd"/>
      <w:r w:rsidR="009C0E79">
        <w:t xml:space="preserve">  1 ) </w:t>
      </w:r>
    </w:p>
    <w:p w14:paraId="16D93532" w14:textId="4D220639" w:rsidR="00480FCC" w:rsidRDefault="00C36904" w:rsidP="009B5DDA">
      <w:pPr>
        <w:pStyle w:val="a3"/>
        <w:numPr>
          <w:ilvl w:val="0"/>
          <w:numId w:val="3"/>
        </w:numPr>
      </w:pPr>
      <w:r>
        <w:rPr>
          <w:b/>
        </w:rPr>
        <w:t>Μειώνουμε</w:t>
      </w:r>
      <w:r>
        <w:t xml:space="preserve"> το δημοτικό φόρο κατά 0,</w:t>
      </w:r>
      <w:r w:rsidR="00D56544">
        <w:t>1</w:t>
      </w:r>
      <w:r>
        <w:t xml:space="preserve"> ευρώ το τετραγωνικό </w:t>
      </w:r>
      <w:r w:rsidR="009C0E79" w:rsidRPr="009C0E79">
        <w:rPr>
          <w:rFonts w:cstheme="minorHAnsi"/>
        </w:rPr>
        <w:t xml:space="preserve"> </w:t>
      </w:r>
      <w:r>
        <w:t xml:space="preserve">και το ποσό αυτό </w:t>
      </w:r>
      <w:r w:rsidR="00480FCC">
        <w:t>θα κατανεμηθεί αναλογικά στα ανταποδοτικά ως</w:t>
      </w:r>
      <w:r>
        <w:t xml:space="preserve"> αύξηση </w:t>
      </w:r>
      <w:r w:rsidR="00480FCC">
        <w:t xml:space="preserve">των τελών χωρίς όμως </w:t>
      </w:r>
      <w:r>
        <w:t>να επιβαρ</w:t>
      </w:r>
      <w:r w:rsidR="00480FCC">
        <w:t>υνθεί πραγματικά ο Δημότης</w:t>
      </w:r>
      <w:r>
        <w:t xml:space="preserve"> καθότι πληρώνετ</w:t>
      </w:r>
      <w:r w:rsidR="00480FCC">
        <w:t>αι  στον ίδιο λογαριασμό του ηλεκτρικού ρεύματος</w:t>
      </w:r>
      <w:r w:rsidR="00480FCC" w:rsidRPr="00480FCC">
        <w:rPr>
          <w:b/>
        </w:rPr>
        <w:t>. Η μείωση του δημοτικού  φόρου   κατά  0,</w:t>
      </w:r>
      <w:r w:rsidR="00D56544">
        <w:rPr>
          <w:b/>
        </w:rPr>
        <w:t>1</w:t>
      </w:r>
      <w:r w:rsidR="00480FCC" w:rsidRPr="00480FCC">
        <w:rPr>
          <w:b/>
        </w:rPr>
        <w:t xml:space="preserve"> αναμένεται να εξοικονομηθεί ποσό </w:t>
      </w:r>
      <w:r w:rsidR="00D56544">
        <w:rPr>
          <w:b/>
        </w:rPr>
        <w:t xml:space="preserve">  </w:t>
      </w:r>
      <w:r w:rsidR="00480FCC">
        <w:rPr>
          <w:b/>
        </w:rPr>
        <w:t>1.2</w:t>
      </w:r>
      <w:r w:rsidR="000E31B3">
        <w:rPr>
          <w:b/>
        </w:rPr>
        <w:t>99</w:t>
      </w:r>
      <w:r w:rsidR="00D56544">
        <w:rPr>
          <w:b/>
        </w:rPr>
        <w:t>.</w:t>
      </w:r>
      <w:r w:rsidR="000E31B3">
        <w:rPr>
          <w:b/>
        </w:rPr>
        <w:t>96</w:t>
      </w:r>
      <w:r w:rsidR="00D56544">
        <w:rPr>
          <w:b/>
        </w:rPr>
        <w:t>9</w:t>
      </w:r>
      <w:r w:rsidR="000E31B3">
        <w:rPr>
          <w:b/>
        </w:rPr>
        <w:t>,00</w:t>
      </w:r>
      <w:r w:rsidR="00480FCC">
        <w:rPr>
          <w:b/>
        </w:rPr>
        <w:t xml:space="preserve"> €</w:t>
      </w:r>
    </w:p>
    <w:p w14:paraId="328428A4" w14:textId="77777777" w:rsidR="0070766D" w:rsidRDefault="0070766D" w:rsidP="009B5DDA">
      <w:pPr>
        <w:rPr>
          <w:b/>
          <w:sz w:val="24"/>
          <w:szCs w:val="24"/>
        </w:rPr>
      </w:pPr>
    </w:p>
    <w:p w14:paraId="4C8448CE" w14:textId="77777777" w:rsidR="0070766D" w:rsidRDefault="0070766D" w:rsidP="009B5DDA">
      <w:pPr>
        <w:rPr>
          <w:b/>
          <w:sz w:val="24"/>
          <w:szCs w:val="24"/>
        </w:rPr>
      </w:pPr>
    </w:p>
    <w:p w14:paraId="6DB04F42" w14:textId="77777777" w:rsidR="0070766D" w:rsidRDefault="0070766D" w:rsidP="009B5DDA">
      <w:pPr>
        <w:rPr>
          <w:b/>
          <w:sz w:val="24"/>
          <w:szCs w:val="24"/>
        </w:rPr>
      </w:pPr>
    </w:p>
    <w:p w14:paraId="0F09BEFC" w14:textId="77777777" w:rsidR="0070766D" w:rsidRDefault="0070766D" w:rsidP="009B5DDA">
      <w:pPr>
        <w:rPr>
          <w:b/>
          <w:sz w:val="24"/>
          <w:szCs w:val="24"/>
        </w:rPr>
      </w:pPr>
    </w:p>
    <w:tbl>
      <w:tblPr>
        <w:tblW w:w="10585" w:type="dxa"/>
        <w:tblInd w:w="-709" w:type="dxa"/>
        <w:tblLook w:val="04A0" w:firstRow="1" w:lastRow="0" w:firstColumn="1" w:lastColumn="0" w:noHBand="0" w:noVBand="1"/>
      </w:tblPr>
      <w:tblGrid>
        <w:gridCol w:w="857"/>
        <w:gridCol w:w="1585"/>
        <w:gridCol w:w="1108"/>
        <w:gridCol w:w="987"/>
        <w:gridCol w:w="1124"/>
        <w:gridCol w:w="1124"/>
        <w:gridCol w:w="1122"/>
        <w:gridCol w:w="1032"/>
        <w:gridCol w:w="1855"/>
      </w:tblGrid>
      <w:tr w:rsidR="00BB5FE3" w:rsidRPr="0010134E" w14:paraId="361296E2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E0E4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431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ΠΡΟΤΑΣΗ  ΤΕΛΩΝ  ΑΝΑ  ΚΑΤΗΓΟΡΙΑ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FFBC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871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01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65FE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A53A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87C0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B5FE3" w:rsidRPr="0010134E" w14:paraId="2BBE1E05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68B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2F31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339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9EE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54B3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435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5366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4A58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E717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BB5FE3" w:rsidRPr="0010134E" w14:paraId="6C579247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764A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D1DF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1B72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D089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F5BB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D83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( 1 Χ 4 )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C58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( 4 + 5 )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0ECD" w14:textId="73CE8701" w:rsidR="0010134E" w:rsidRPr="0010134E" w:rsidRDefault="0010134E" w:rsidP="00BB5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BB5FE3">
              <w:rPr>
                <w:rFonts w:ascii="Calibri" w:eastAsia="Times New Roman" w:hAnsi="Calibri" w:cs="Calibri"/>
                <w:color w:val="000000"/>
                <w:lang w:eastAsia="el-GR"/>
              </w:rPr>
              <w:t>(2</w:t>
            </w: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+3+4 )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985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(  5 Χ 1 ) </w:t>
            </w:r>
          </w:p>
        </w:tc>
      </w:tr>
      <w:tr w:rsidR="00BB5FE3" w:rsidRPr="0010134E" w14:paraId="6C47DB41" w14:textId="77777777" w:rsidTr="00CD6792">
        <w:trPr>
          <w:trHeight w:val="31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A8F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Α.Α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49F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</w:t>
            </w:r>
            <w:proofErr w:type="spellEnd"/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0B67D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μ2 </w:t>
            </w: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χρεωσης</w:t>
            </w:r>
            <w:proofErr w:type="spellEnd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BDF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2021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5010D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προσθετο</w:t>
            </w:r>
            <w:proofErr w:type="spellEnd"/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B8D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προσθετο</w:t>
            </w:r>
            <w:proofErr w:type="spellEnd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BC32C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συνολική  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2562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2022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5F580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προσθετο</w:t>
            </w:r>
            <w:proofErr w:type="spellEnd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  <w:tr w:rsidR="00BB5FE3" w:rsidRPr="0010134E" w14:paraId="4A77040E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4FD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9BA8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957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F5B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134B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χρεωσης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CDA1F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από  ΔΦ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8B8BD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μεταβολή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3DAEB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21BF2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</w:t>
            </w:r>
            <w:proofErr w:type="spellEnd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εσοδων</w:t>
            </w:r>
            <w:proofErr w:type="spellEnd"/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  <w:tr w:rsidR="00BB5FE3" w:rsidRPr="0010134E" w14:paraId="35EB1303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1B7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C0CF" w14:textId="77777777" w:rsid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Οικίες   Ηρακλείου   </w:t>
            </w:r>
          </w:p>
          <w:p w14:paraId="7A8E5125" w14:textId="06B3E7DD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( αστικά)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BE636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7.581.748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B8380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B632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0,05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56D5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BD6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CDE24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0,76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2FD44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1.137.262,20 €</w:t>
            </w:r>
          </w:p>
        </w:tc>
      </w:tr>
      <w:tr w:rsidR="00BB5FE3" w:rsidRPr="0010134E" w14:paraId="4A4076A1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536DB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61E16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D2A7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36728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94564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801B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C095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A19C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CA91C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2570FB6C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E810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F14" w14:textId="77777777" w:rsid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Οικίες   Ηρακλείου  </w:t>
            </w:r>
          </w:p>
          <w:p w14:paraId="64BA8507" w14:textId="363B8F8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 </w:t>
            </w:r>
            <w:proofErr w:type="spellStart"/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περιαστικά</w:t>
            </w:r>
            <w:proofErr w:type="spellEnd"/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E47DD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759.471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7DFD3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2C4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0,05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3CD1F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08E2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EB239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0,71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12AA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113.920,65 €</w:t>
            </w:r>
          </w:p>
        </w:tc>
      </w:tr>
      <w:tr w:rsidR="00BB5FE3" w:rsidRPr="0010134E" w14:paraId="61CE9695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A14D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EFF5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7322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CECAC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53C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AFC9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298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2A1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52B66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03AFBB86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CA9D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CD2" w14:textId="73756FA0" w:rsid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Επαγγελματικά</w:t>
            </w:r>
          </w:p>
          <w:p w14:paraId="6E30C5DE" w14:textId="1E952E5C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 αστικά )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D7DF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2.975.007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D7A86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2,4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51D4" w14:textId="71CD1844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021D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30B" w14:textId="091C7694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BC50A" w14:textId="387617DB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2,</w:t>
            </w:r>
            <w:r w:rsidR="00E539A1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2D485" w14:textId="05B6DA36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743.751,75</w:t>
            </w:r>
            <w:r w:rsidR="0010134E"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6FB8D2B4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9C8E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D8C8D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EB5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34F95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1108D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4A9C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2AFE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3252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458A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0CC292A6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48C4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7C4C" w14:textId="77777777" w:rsid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επαγγελματικά </w:t>
            </w:r>
          </w:p>
          <w:p w14:paraId="418C46F8" w14:textId="7B48503F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( </w:t>
            </w:r>
            <w:proofErr w:type="spellStart"/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περιαστικά</w:t>
            </w:r>
            <w:proofErr w:type="spellEnd"/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)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B61AC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494.093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EEB90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B240" w14:textId="6FF2B1F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63144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ECBE" w14:textId="1DFC0D45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33C91" w14:textId="10ADFBBA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2,</w:t>
            </w:r>
            <w:r w:rsidR="00E539A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77725" w14:textId="4F6A5FC1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123.523,25</w:t>
            </w:r>
            <w:r w:rsidR="0010134E"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1ADA1941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935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2454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9981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D045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BA6B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6932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9B4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AF28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5F94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520B582B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8604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22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φιλανθρωπικά  και εκπαιδευτικά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E660B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102.516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D81D8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0,93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311C" w14:textId="1BCB691D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B98B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D015" w14:textId="3A88E044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6D26" w14:textId="7E5FA745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1,</w:t>
            </w:r>
            <w:r w:rsidR="00E539A1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43B7F" w14:textId="30B5C972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25.629,00</w:t>
            </w:r>
            <w:r w:rsidR="0010134E"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073C72E0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24C14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68A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533F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6C43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29B8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5FF5B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3A6C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81E7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4D3C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64A2FE1A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B419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9D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φοινικιά - ΒΙΟΠΑ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2BC62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499.081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1E40D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1,69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A8A7" w14:textId="6A6CE6CA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0F803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9A21" w14:textId="11513418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0B462" w14:textId="5803B848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1,9</w:t>
            </w:r>
            <w:r w:rsidR="00E539A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0FFB" w14:textId="14A18ADB" w:rsidR="0010134E" w:rsidRPr="0010134E" w:rsidRDefault="00E539A1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124.770,25</w:t>
            </w:r>
            <w:r w:rsidR="0010134E"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32C5F36C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B1744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8742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CDDF4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8EB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DE6DC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E2F2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017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B40F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71ED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56E1D0BD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3240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AE0D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ΒΙΠΕ  - ΟΛΗ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D24F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251.984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9F345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7E5A" w14:textId="08C6947D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A05D5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8CA1" w14:textId="0ACAE088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5C491" w14:textId="034346FD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0,7</w:t>
            </w:r>
            <w:r w:rsidR="00D1524C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2E4D7" w14:textId="4356BFB2" w:rsidR="0010134E" w:rsidRPr="0010134E" w:rsidRDefault="00E539A1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62.996,00</w:t>
            </w:r>
            <w:r w:rsidR="0010134E"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0AC53632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1CB3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B2D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51FF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751D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9785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0B12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98F04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088E8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1213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6D53E8B0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A81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657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ΠΑΡΚΙΝΚ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DA2C8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83.068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AD735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1,39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CC2C" w14:textId="4EA17098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B6523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B0C" w14:textId="75653FB3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222A" w14:textId="75A5971E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1,6</w:t>
            </w:r>
            <w:r w:rsidR="00D1524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6980D" w14:textId="2B770DCA" w:rsidR="0010134E" w:rsidRPr="0010134E" w:rsidRDefault="00E539A1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20.767,00</w:t>
            </w:r>
          </w:p>
        </w:tc>
      </w:tr>
      <w:tr w:rsidR="00BB5FE3" w:rsidRPr="0010134E" w14:paraId="309722FE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8A18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892C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306B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5D6C6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D558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6EF96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3BA4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6B6A8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A07B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45CD445E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3B7F" w14:textId="77777777" w:rsidR="0010134E" w:rsidRPr="0010134E" w:rsidRDefault="0010134E" w:rsidP="0010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4D15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ΕΙΔΙΚΗ ΚΑΤΗΓΟΡΙΑ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ADF39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252.724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230D9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3,24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D5F0" w14:textId="4E583A1D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</w:t>
            </w:r>
            <w:r w:rsidR="00284CF2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419D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ED64" w14:textId="74C17F1E" w:rsidR="0010134E" w:rsidRPr="0010134E" w:rsidRDefault="00CD6792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E880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3,54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441CD" w14:textId="0FA63915" w:rsidR="0010134E" w:rsidRPr="0010134E" w:rsidRDefault="00E539A1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63.181,10</w:t>
            </w:r>
            <w:r w:rsidR="0010134E"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26B0AF39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49D64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6FDF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9B14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3457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BC68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32D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53D1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C8BD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2E0A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47EBBF67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E7A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22F2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94F9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066C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1A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F35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246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538F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893E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B5FE3" w:rsidRPr="0010134E" w14:paraId="4F6D5121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AEE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D20" w14:textId="0BA9783B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 ΠΡΟΣΘΕΤΩΝ  ΕΣΟΔΩΝ ΑΠΌ ΑΝΤΑΠΟΔΟΤΙΚΑ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00D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1FFC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F080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0BD4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3C018" w14:textId="72CE31D5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</w:t>
            </w:r>
            <w:r w:rsidR="00E539A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415.801,10</w:t>
            </w: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7CD10477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34E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56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ΕΣΟΔΑ ΑΝΤΑΠΟΔΟΤΙΚΩΝ  ΩΣ  ΕΙΣΗΓΗΣΗ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2D0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AD32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4097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AA36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ACC9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B8CAF" w14:textId="77777777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19.521.604,24 €</w:t>
            </w:r>
          </w:p>
        </w:tc>
      </w:tr>
      <w:tr w:rsidR="00BB5FE3" w:rsidRPr="0010134E" w14:paraId="4A1CE693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42D6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047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A197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1AAF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9D17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5C51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448D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A6BE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1B8D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--------------------</w:t>
            </w:r>
          </w:p>
        </w:tc>
      </w:tr>
      <w:tr w:rsidR="00BB5FE3" w:rsidRPr="0010134E" w14:paraId="42EE14DB" w14:textId="77777777" w:rsidTr="00CD6792">
        <w:trPr>
          <w:trHeight w:val="315"/>
        </w:trPr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6068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48CD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C433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CFAB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7F67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9AC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860A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FD35" w14:textId="77777777" w:rsidR="0010134E" w:rsidRPr="0010134E" w:rsidRDefault="0010134E" w:rsidP="0010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4B05A" w14:textId="62A1C2E2" w:rsidR="0010134E" w:rsidRPr="0010134E" w:rsidRDefault="0010134E" w:rsidP="0010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="00E539A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E539A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937.405,34</w:t>
            </w:r>
            <w:r w:rsidRPr="00101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BB5FE3" w:rsidRPr="0010134E" w14:paraId="1A53DD1B" w14:textId="77777777" w:rsidTr="00CD6792">
        <w:trPr>
          <w:trHeight w:val="32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2FD2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7D5E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EDD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3DE7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6ADE0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90D84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8620F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6C2E1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ED4BA" w14:textId="77777777" w:rsidR="0010134E" w:rsidRPr="0010134E" w:rsidRDefault="0010134E" w:rsidP="0010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01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88563EA" w14:textId="551E2C78" w:rsidR="00BB5FE3" w:rsidRDefault="00BB5FE3" w:rsidP="009B5DDA">
      <w:pPr>
        <w:rPr>
          <w:b/>
          <w:sz w:val="24"/>
          <w:szCs w:val="24"/>
        </w:rPr>
      </w:pPr>
    </w:p>
    <w:p w14:paraId="019CE239" w14:textId="6D75877D" w:rsidR="00BB5FE3" w:rsidRDefault="00507E8C" w:rsidP="009B5D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Έχει ελεγχθεί και το 1/5 και ισχύει </w:t>
      </w:r>
    </w:p>
    <w:p w14:paraId="44F14D5E" w14:textId="73666452" w:rsidR="000C27EF" w:rsidRPr="00480FCC" w:rsidRDefault="00480FCC" w:rsidP="009B5DDA">
      <w:pPr>
        <w:rPr>
          <w:b/>
          <w:sz w:val="24"/>
          <w:szCs w:val="24"/>
        </w:rPr>
      </w:pPr>
      <w:r w:rsidRPr="00480FCC">
        <w:rPr>
          <w:b/>
          <w:sz w:val="24"/>
          <w:szCs w:val="24"/>
        </w:rPr>
        <w:t xml:space="preserve">ΤΑ ΣΥΝΟΛΙΚΑ ΠΡΟΒΛΕΠΟΜΕΝΑ ΕΣΟΔΑ ΔΙΑΜΟΡΦΩΝΟΝΤΑΙ ΣΤΟ ΠΟΣΟ </w:t>
      </w:r>
      <w:r w:rsidR="000C27EF" w:rsidRPr="00480FCC">
        <w:rPr>
          <w:b/>
          <w:sz w:val="24"/>
          <w:szCs w:val="24"/>
        </w:rPr>
        <w:t xml:space="preserve">ΤΩΝ </w:t>
      </w:r>
    </w:p>
    <w:p w14:paraId="08751306" w14:textId="6A406854" w:rsidR="000C27EF" w:rsidRPr="00480FCC" w:rsidRDefault="000C27EF" w:rsidP="009B5DDA">
      <w:pPr>
        <w:rPr>
          <w:b/>
          <w:bCs/>
          <w:sz w:val="24"/>
          <w:szCs w:val="24"/>
        </w:rPr>
      </w:pPr>
      <w:r w:rsidRPr="00480FCC">
        <w:rPr>
          <w:b/>
          <w:bCs/>
          <w:sz w:val="24"/>
          <w:szCs w:val="24"/>
        </w:rPr>
        <w:t>19.521.604</w:t>
      </w:r>
      <w:r w:rsidR="000E31B3">
        <w:rPr>
          <w:b/>
          <w:bCs/>
          <w:sz w:val="24"/>
          <w:szCs w:val="24"/>
        </w:rPr>
        <w:t>,24 + 2.</w:t>
      </w:r>
      <w:r w:rsidR="00E539A1">
        <w:rPr>
          <w:b/>
          <w:bCs/>
          <w:sz w:val="24"/>
          <w:szCs w:val="24"/>
        </w:rPr>
        <w:t xml:space="preserve">415.801,10 </w:t>
      </w:r>
      <w:r w:rsidR="00B20773" w:rsidRPr="00480FCC">
        <w:rPr>
          <w:b/>
          <w:bCs/>
          <w:sz w:val="24"/>
          <w:szCs w:val="24"/>
        </w:rPr>
        <w:t>=  2</w:t>
      </w:r>
      <w:r w:rsidR="00E539A1">
        <w:rPr>
          <w:b/>
          <w:bCs/>
          <w:sz w:val="24"/>
          <w:szCs w:val="24"/>
        </w:rPr>
        <w:t>1.937.405,34</w:t>
      </w:r>
      <w:r w:rsidR="00B20773" w:rsidRPr="00480FCC">
        <w:rPr>
          <w:b/>
          <w:bCs/>
          <w:sz w:val="24"/>
          <w:szCs w:val="24"/>
        </w:rPr>
        <w:t xml:space="preserve"> </w:t>
      </w:r>
      <w:r w:rsidR="00480FCC" w:rsidRPr="00480FCC">
        <w:rPr>
          <w:b/>
          <w:bCs/>
          <w:sz w:val="24"/>
          <w:szCs w:val="24"/>
        </w:rPr>
        <w:t>€</w:t>
      </w:r>
      <w:r w:rsidR="006A23C7">
        <w:rPr>
          <w:b/>
          <w:bCs/>
          <w:sz w:val="24"/>
          <w:szCs w:val="24"/>
        </w:rPr>
        <w:t xml:space="preserve"> </w:t>
      </w:r>
      <w:r w:rsidR="00D56544">
        <w:rPr>
          <w:b/>
          <w:bCs/>
          <w:sz w:val="24"/>
          <w:szCs w:val="24"/>
        </w:rPr>
        <w:t xml:space="preserve"> </w:t>
      </w:r>
      <w:r w:rsidR="006A23C7">
        <w:rPr>
          <w:b/>
          <w:bCs/>
          <w:sz w:val="24"/>
          <w:szCs w:val="24"/>
        </w:rPr>
        <w:t xml:space="preserve">που καλύπτει τις </w:t>
      </w:r>
      <w:proofErr w:type="spellStart"/>
      <w:r w:rsidR="006A23C7">
        <w:rPr>
          <w:b/>
          <w:bCs/>
          <w:sz w:val="24"/>
          <w:szCs w:val="24"/>
        </w:rPr>
        <w:t>προϋπολογιζόμενες</w:t>
      </w:r>
      <w:proofErr w:type="spellEnd"/>
      <w:r w:rsidR="006A23C7">
        <w:rPr>
          <w:b/>
          <w:bCs/>
          <w:sz w:val="24"/>
          <w:szCs w:val="24"/>
        </w:rPr>
        <w:t xml:space="preserve"> </w:t>
      </w:r>
      <w:r w:rsidR="000C3AB6">
        <w:rPr>
          <w:b/>
          <w:bCs/>
          <w:sz w:val="24"/>
          <w:szCs w:val="24"/>
        </w:rPr>
        <w:t xml:space="preserve"> </w:t>
      </w:r>
      <w:r w:rsidR="006A23C7">
        <w:rPr>
          <w:b/>
          <w:bCs/>
          <w:sz w:val="24"/>
          <w:szCs w:val="24"/>
        </w:rPr>
        <w:t>δαπάνες</w:t>
      </w:r>
      <w:r w:rsidR="00D56544">
        <w:rPr>
          <w:b/>
          <w:bCs/>
          <w:sz w:val="24"/>
          <w:szCs w:val="24"/>
        </w:rPr>
        <w:t xml:space="preserve">  της </w:t>
      </w:r>
      <w:r w:rsidR="000C3AB6">
        <w:rPr>
          <w:b/>
          <w:bCs/>
          <w:sz w:val="24"/>
          <w:szCs w:val="24"/>
        </w:rPr>
        <w:t xml:space="preserve"> </w:t>
      </w:r>
      <w:r w:rsidR="00D56544">
        <w:rPr>
          <w:b/>
          <w:bCs/>
          <w:sz w:val="24"/>
          <w:szCs w:val="24"/>
        </w:rPr>
        <w:t xml:space="preserve"> πρότασης </w:t>
      </w:r>
      <w:r w:rsidR="000C3AB6">
        <w:rPr>
          <w:b/>
          <w:bCs/>
          <w:sz w:val="24"/>
          <w:szCs w:val="24"/>
        </w:rPr>
        <w:t xml:space="preserve"> </w:t>
      </w:r>
      <w:r w:rsidR="00D56544">
        <w:rPr>
          <w:b/>
          <w:bCs/>
          <w:sz w:val="24"/>
          <w:szCs w:val="24"/>
        </w:rPr>
        <w:t xml:space="preserve">μας </w:t>
      </w:r>
      <w:r w:rsidR="006A23C7">
        <w:rPr>
          <w:b/>
          <w:bCs/>
          <w:sz w:val="24"/>
          <w:szCs w:val="24"/>
        </w:rPr>
        <w:t xml:space="preserve">. </w:t>
      </w:r>
    </w:p>
    <w:p w14:paraId="359D9440" w14:textId="794D292C" w:rsidR="00B20773" w:rsidRDefault="00B20773" w:rsidP="009B5DDA">
      <w:pPr>
        <w:rPr>
          <w:b/>
          <w:bCs/>
        </w:rPr>
      </w:pPr>
    </w:p>
    <w:p w14:paraId="4DEF2612" w14:textId="4ED8641F" w:rsidR="006954FC" w:rsidRDefault="00480FCC" w:rsidP="009B5D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Με την κοινή μας πρόταση η πραγματική επιβάρυνση για τους δημότες είναι πολύ λιγότερη σε σχέση με την πρόταση της </w:t>
      </w:r>
      <w:r w:rsidR="009235BA">
        <w:rPr>
          <w:b/>
          <w:bCs/>
          <w:sz w:val="24"/>
          <w:szCs w:val="24"/>
        </w:rPr>
        <w:t xml:space="preserve">Δημοτικής Αρχής </w:t>
      </w:r>
      <w:r w:rsidR="00507E8C">
        <w:rPr>
          <w:b/>
          <w:bCs/>
          <w:sz w:val="24"/>
          <w:szCs w:val="24"/>
        </w:rPr>
        <w:t xml:space="preserve"> </w:t>
      </w:r>
    </w:p>
    <w:p w14:paraId="66DC1D7C" w14:textId="256417A8" w:rsidR="00C07660" w:rsidRDefault="00C07660" w:rsidP="009B5DDA">
      <w:pPr>
        <w:rPr>
          <w:b/>
          <w:bCs/>
          <w:sz w:val="24"/>
          <w:szCs w:val="24"/>
        </w:rPr>
      </w:pPr>
    </w:p>
    <w:p w14:paraId="0BEC5A4E" w14:textId="213E2653" w:rsidR="00C07660" w:rsidRDefault="00B91C3C" w:rsidP="009B5DDA">
      <w:r>
        <w:t xml:space="preserve">Οι  παρατάξεις  </w:t>
      </w:r>
    </w:p>
    <w:p w14:paraId="6850F9D5" w14:textId="1BE9D33C" w:rsidR="00B91C3C" w:rsidRDefault="00B91C3C" w:rsidP="009B5DDA">
      <w:r>
        <w:t>ΗΡΑΚΛΕΙΟ 3-7-5</w:t>
      </w:r>
    </w:p>
    <w:p w14:paraId="7459726B" w14:textId="346D6147" w:rsidR="00B91C3C" w:rsidRDefault="00B91C3C" w:rsidP="009B5DDA">
      <w:r>
        <w:t>ΗΡΑΚΛΕΙΟ ΕΝΕΡΓΟΙ ΠΟΛΙΤΕΣ</w:t>
      </w:r>
    </w:p>
    <w:p w14:paraId="6339A341" w14:textId="37B0BE55" w:rsidR="00B91C3C" w:rsidRDefault="00B91C3C" w:rsidP="009B5DDA">
      <w:r>
        <w:t>ΣΥΜΠΡΑΞΗ ΔΗΜΟΤΩΝ  ΗΡΑΚΛΕΙΟΥ</w:t>
      </w:r>
    </w:p>
    <w:p w14:paraId="12829142" w14:textId="62A0D8BF" w:rsidR="00B91C3C" w:rsidRPr="00D23A69" w:rsidRDefault="00B91C3C" w:rsidP="009B5DDA">
      <w:r>
        <w:t>ΗΡΑΚΛ</w:t>
      </w:r>
      <w:r w:rsidR="00133B87">
        <w:t>ΕΙΟ</w:t>
      </w:r>
      <w:r>
        <w:t xml:space="preserve">Ν ΑΞΙΖΕΙ </w:t>
      </w:r>
    </w:p>
    <w:p w14:paraId="033A3EF3" w14:textId="4A15A175" w:rsidR="009B5DDA" w:rsidRDefault="009B5DDA" w:rsidP="009B5DDA">
      <w:r>
        <w:t xml:space="preserve">   </w:t>
      </w:r>
    </w:p>
    <w:p w14:paraId="643115B5" w14:textId="77777777" w:rsidR="00D239EE" w:rsidRPr="00FF7D53" w:rsidRDefault="00D239EE" w:rsidP="00D239EE">
      <w:pPr>
        <w:pStyle w:val="a3"/>
      </w:pPr>
    </w:p>
    <w:sectPr w:rsidR="00D239EE" w:rsidRPr="00FF7D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;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17B8"/>
    <w:multiLevelType w:val="hybridMultilevel"/>
    <w:tmpl w:val="50B831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230FB"/>
    <w:multiLevelType w:val="hybridMultilevel"/>
    <w:tmpl w:val="EED06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7466"/>
    <w:multiLevelType w:val="hybridMultilevel"/>
    <w:tmpl w:val="9790F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3"/>
    <w:rsid w:val="00056C2A"/>
    <w:rsid w:val="00071921"/>
    <w:rsid w:val="000C27EF"/>
    <w:rsid w:val="000C3AB6"/>
    <w:rsid w:val="000D1FE4"/>
    <w:rsid w:val="000E31B3"/>
    <w:rsid w:val="0010134E"/>
    <w:rsid w:val="00133B87"/>
    <w:rsid w:val="001667B0"/>
    <w:rsid w:val="00174E7F"/>
    <w:rsid w:val="001A5B8B"/>
    <w:rsid w:val="00220C17"/>
    <w:rsid w:val="00267042"/>
    <w:rsid w:val="00284CF2"/>
    <w:rsid w:val="002C744C"/>
    <w:rsid w:val="00315DFC"/>
    <w:rsid w:val="00390606"/>
    <w:rsid w:val="003C4579"/>
    <w:rsid w:val="0042663E"/>
    <w:rsid w:val="00480FCC"/>
    <w:rsid w:val="00487BAB"/>
    <w:rsid w:val="004B5B17"/>
    <w:rsid w:val="00507E8C"/>
    <w:rsid w:val="00574B23"/>
    <w:rsid w:val="005D1A85"/>
    <w:rsid w:val="006701B4"/>
    <w:rsid w:val="006954FC"/>
    <w:rsid w:val="006A23C7"/>
    <w:rsid w:val="006C3F23"/>
    <w:rsid w:val="0070766D"/>
    <w:rsid w:val="00873BE9"/>
    <w:rsid w:val="008B3791"/>
    <w:rsid w:val="009235BA"/>
    <w:rsid w:val="00963D18"/>
    <w:rsid w:val="00974DE6"/>
    <w:rsid w:val="009B5DDA"/>
    <w:rsid w:val="009C0E79"/>
    <w:rsid w:val="00A0695F"/>
    <w:rsid w:val="00AB0689"/>
    <w:rsid w:val="00AB62F3"/>
    <w:rsid w:val="00B20773"/>
    <w:rsid w:val="00B423DD"/>
    <w:rsid w:val="00B91C3C"/>
    <w:rsid w:val="00BB5FE3"/>
    <w:rsid w:val="00C044E9"/>
    <w:rsid w:val="00C07660"/>
    <w:rsid w:val="00C15741"/>
    <w:rsid w:val="00C36904"/>
    <w:rsid w:val="00CA7D44"/>
    <w:rsid w:val="00CD6792"/>
    <w:rsid w:val="00D13F96"/>
    <w:rsid w:val="00D1524C"/>
    <w:rsid w:val="00D239EE"/>
    <w:rsid w:val="00D23A69"/>
    <w:rsid w:val="00D56544"/>
    <w:rsid w:val="00DA3927"/>
    <w:rsid w:val="00E45EB8"/>
    <w:rsid w:val="00E539A1"/>
    <w:rsid w:val="00EE32D2"/>
    <w:rsid w:val="00F26D9B"/>
    <w:rsid w:val="00F3637B"/>
    <w:rsid w:val="00F77170"/>
    <w:rsid w:val="00F876ED"/>
    <w:rsid w:val="00FB5CF5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27D7"/>
  <w15:chartTrackingRefBased/>
  <w15:docId w15:val="{8AB28279-E75C-4054-BBD6-93ECF691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DE6"/>
    <w:pPr>
      <w:ind w:left="720"/>
      <w:contextualSpacing/>
    </w:pPr>
  </w:style>
  <w:style w:type="paragraph" w:customStyle="1" w:styleId="DecimalAligned">
    <w:name w:val="Decimal Aligned"/>
    <w:basedOn w:val="a"/>
    <w:uiPriority w:val="40"/>
    <w:qFormat/>
    <w:rsid w:val="00AB068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l-GR"/>
    </w:rPr>
  </w:style>
  <w:style w:type="paragraph" w:styleId="a4">
    <w:name w:val="footnote text"/>
    <w:basedOn w:val="a"/>
    <w:link w:val="Char"/>
    <w:uiPriority w:val="99"/>
    <w:unhideWhenUsed/>
    <w:rsid w:val="00AB0689"/>
    <w:pPr>
      <w:spacing w:after="0" w:line="240" w:lineRule="auto"/>
    </w:pPr>
    <w:rPr>
      <w:rFonts w:eastAsiaTheme="minorEastAsia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4"/>
    <w:uiPriority w:val="99"/>
    <w:rsid w:val="00AB0689"/>
    <w:rPr>
      <w:rFonts w:eastAsiaTheme="minorEastAsia" w:cs="Times New Roman"/>
      <w:sz w:val="20"/>
      <w:szCs w:val="20"/>
      <w:lang w:eastAsia="el-GR"/>
    </w:rPr>
  </w:style>
  <w:style w:type="character" w:styleId="a5">
    <w:name w:val="Subtle Emphasis"/>
    <w:basedOn w:val="a0"/>
    <w:uiPriority w:val="19"/>
    <w:qFormat/>
    <w:rsid w:val="00AB0689"/>
    <w:rPr>
      <w:i/>
      <w:iCs/>
    </w:rPr>
  </w:style>
  <w:style w:type="table" w:styleId="2-5">
    <w:name w:val="Medium Shading 2 Accent 5"/>
    <w:basedOn w:val="a1"/>
    <w:uiPriority w:val="64"/>
    <w:rsid w:val="00AB0689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315D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l-G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2445-74D9-45A1-A8AB-51FE216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1180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2021-11-16T09:29:00Z</cp:lastPrinted>
  <dcterms:created xsi:type="dcterms:W3CDTF">2021-11-16T07:17:00Z</dcterms:created>
  <dcterms:modified xsi:type="dcterms:W3CDTF">2021-11-16T16:40:00Z</dcterms:modified>
</cp:coreProperties>
</file>