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6996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5047"/>
      </w:tblGrid>
      <w:tr>
        <w:trPr>
          <w:cantSplit w:val="true"/>
        </w:trPr>
        <w:tc>
          <w:tcPr>
            <w:tcW w:w="1949" w:type="dxa"/>
            <w:tcBorders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  <w:p>
            <w:pPr>
              <w:pStyle w:val="Normal"/>
              <w:jc w:val="left"/>
              <w:rPr/>
            </w:pPr>
            <w:r>
              <w:rPr/>
              <w:drawing>
                <wp:inline distT="0" distB="0" distL="0" distR="0">
                  <wp:extent cx="1104265" cy="844550"/>
                  <wp:effectExtent l="0" t="0" r="0" b="0"/>
                  <wp:docPr id="1" name="Εικόνα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50" t="-68" r="-50" b="-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7" w:type="dxa"/>
            <w:tcBorders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  <w:p>
            <w:pPr>
              <w:pStyle w:val="Heading3"/>
              <w:numPr>
                <w:ilvl w:val="2"/>
                <w:numId w:val="2"/>
              </w:numPr>
              <w:ind w:left="0" w:right="0" w:hanging="0"/>
              <w:jc w:val="left"/>
              <w:rPr>
                <w:rFonts w:cs="Arial"/>
                <w:position w:val="4"/>
                <w:sz w:val="36"/>
                <w:szCs w:val="36"/>
              </w:rPr>
            </w:pPr>
            <w:r>
              <w:rPr>
                <w:rFonts w:cs="Arial"/>
                <w:position w:val="4"/>
                <w:sz w:val="36"/>
                <w:szCs w:val="36"/>
              </w:rPr>
              <w:t>Κοινοβουλευτική Ομάδα</w:t>
            </w:r>
          </w:p>
          <w:p>
            <w:pPr>
              <w:pStyle w:val="Normal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Λεωφ. Ηρακλείου 145, 14231 ΝΕΑ ΙΩΝΙΑ, 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z w:val="16"/>
                <w:szCs w:val="16"/>
              </w:rPr>
              <w:t>τηλ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.: 2102592213, 2102592105, 2102592258, </w:t>
            </w:r>
            <w:r>
              <w:rPr>
                <w:rFonts w:cs="Arial"/>
                <w:sz w:val="16"/>
                <w:szCs w:val="16"/>
                <w:lang w:val="en-GB"/>
              </w:rPr>
              <w:t>fax</w:t>
            </w:r>
            <w:r>
              <w:rPr>
                <w:rFonts w:cs="Arial"/>
                <w:sz w:val="16"/>
                <w:szCs w:val="16"/>
                <w:lang w:val="en-US"/>
              </w:rPr>
              <w:t>: 2102592097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pacing w:val="15"/>
                <w:sz w:val="16"/>
                <w:szCs w:val="16"/>
                <w:lang w:val="de-DE"/>
              </w:rPr>
              <w:t>e-mail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ko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@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vouli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.k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,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http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://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www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</w:p>
          <w:p>
            <w:pPr>
              <w:pStyle w:val="Normal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Γραφεία Βουλής: 2103708168, 2103708169, fax: 2103707410</w:t>
            </w:r>
          </w:p>
        </w:tc>
      </w:tr>
      <w:tr>
        <w:trPr>
          <w:trHeight w:val="28" w:hRule="exact"/>
          <w:cantSplit w:val="true"/>
        </w:trPr>
        <w:tc>
          <w:tcPr>
            <w:tcW w:w="1949" w:type="dxa"/>
            <w:tcBorders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</w:tc>
        <w:tc>
          <w:tcPr>
            <w:tcW w:w="5047" w:type="dxa"/>
            <w:tcBorders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</w:tc>
      </w:tr>
    </w:tbl>
    <w:p>
      <w:pPr>
        <w:pStyle w:val="Normal"/>
        <w:spacing w:lineRule="auto" w:line="600"/>
        <w:jc w:val="center"/>
        <w:rPr>
          <w:rFonts w:cs="Arial"/>
        </w:rPr>
      </w:pPr>
      <w:r>
        <w:rPr>
          <w:rFonts w:cs="Arial"/>
        </w:rPr>
        <w:t>Προς το Προεδρείο της Βουλής</w:t>
      </w:r>
    </w:p>
    <w:p>
      <w:pPr>
        <w:pStyle w:val="Normal"/>
        <w:spacing w:lineRule="auto" w:line="480"/>
        <w:jc w:val="center"/>
        <w:rPr>
          <w:rFonts w:cs="Arial"/>
          <w:b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ΑΝΑΦΟΡΑ</w:t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  <w:t>Για τ</w:t>
      </w:r>
      <w:r>
        <w:rPr>
          <w:rFonts w:cs="Arial"/>
          <w:b/>
        </w:rPr>
        <w:t>η</w:t>
      </w:r>
      <w:r>
        <w:rPr>
          <w:rFonts w:cs="Arial"/>
          <w:b/>
        </w:rPr>
        <w:t>ν κ</w:t>
      </w:r>
      <w:r>
        <w:rPr>
          <w:rFonts w:cs="Arial"/>
          <w:b/>
        </w:rPr>
        <w:t>α</w:t>
      </w:r>
      <w:r>
        <w:rPr>
          <w:rFonts w:cs="Arial"/>
          <w:b/>
        </w:rPr>
        <w:t xml:space="preserve">. Υπουργό </w:t>
      </w:r>
      <w:r>
        <w:rPr>
          <w:rFonts w:cs="Arial"/>
          <w:b/>
        </w:rPr>
        <w:t>Παιδείας και Θρησκευμάτων</w:t>
      </w:r>
    </w:p>
    <w:p>
      <w:pPr>
        <w:pStyle w:val="Normal"/>
        <w:jc w:val="center"/>
        <w:rPr>
          <w:rFonts w:cs="Arial"/>
          <w:b w:val="false"/>
          <w:b w:val="false"/>
          <w:bCs w:val="false"/>
        </w:rPr>
      </w:pPr>
      <w:r>
        <w:rPr>
          <w:rFonts w:cs="Arial"/>
          <w:b w:val="false"/>
          <w:bCs w:val="false"/>
        </w:rPr>
      </w:r>
    </w:p>
    <w:p>
      <w:pPr>
        <w:pStyle w:val="Normal"/>
        <w:jc w:val="left"/>
        <w:rPr>
          <w:rFonts w:cs="Arial"/>
          <w:b w:val="false"/>
          <w:b w:val="false"/>
          <w:bCs w:val="false"/>
        </w:rPr>
      </w:pPr>
      <w:r>
        <w:rPr>
          <w:rFonts w:cs="Arial"/>
          <w:b/>
          <w:bCs/>
        </w:rPr>
        <w:t>Θέμα:</w:t>
      </w:r>
      <w:r>
        <w:rPr>
          <w:rFonts w:cs="Arial"/>
          <w:b w:val="false"/>
          <w:bCs w:val="false"/>
        </w:rPr>
        <w:t xml:space="preserve"> Αναγνώριση σπουδών και παροχή δωρεάν συγγραμμάτων στα μουσικά και καλλιτεχνικά σχολεία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/>
          <w:b w:val="false"/>
          <w:bCs w:val="false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Οι βουλευτές </w:t>
      </w:r>
      <w:r>
        <w:rPr>
          <w:rFonts w:cs="Arial"/>
        </w:rPr>
        <w:t xml:space="preserve">Δελής Γιάννης, Κανέλλη Λιάνα, Καραθανασόπουλος Νίκος, Κομνηνάκα Μαρία, Λαμπρούλης Γιώργος, </w:t>
      </w:r>
      <w:r>
        <w:rPr>
          <w:rFonts w:cs="Arial"/>
        </w:rPr>
        <w:t xml:space="preserve">Μανωλάκου Διαμάντω, </w:t>
      </w:r>
      <w:r>
        <w:rPr>
          <w:rFonts w:cs="Arial"/>
        </w:rPr>
        <w:t>Μαρίνος Γιώργος, Παπαναστάσης Νίκος και Συντυχάκης Μανώλης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/>
      </w:pPr>
      <w:r>
        <w:rPr>
          <w:rFonts w:cs="Arial"/>
        </w:rPr>
        <w:t>Κατέθεσαν</w:t>
      </w:r>
      <w:r>
        <w:rPr>
          <w:rFonts w:cs="Arial"/>
          <w:b/>
        </w:rPr>
        <w:t xml:space="preserve"> ΑΝΑΦΟΡΑ</w:t>
      </w:r>
      <w:r>
        <w:rPr>
          <w:rFonts w:cs="Arial"/>
        </w:rPr>
        <w:t xml:space="preserve"> </w:t>
      </w:r>
      <w:r>
        <w:rPr>
          <w:rFonts w:cs="Arial"/>
        </w:rPr>
        <w:t>το υπόμνημα της Πανελλήνιας Ένωσης Γονέων Μουσικών και Καλλιτεχνικών Σχολείων, στο οποίο ζητούν την πιστοποίηση του επιπέδου σπουδών των αποφοίτων στο αντικείμενο ειδίκευσής του</w:t>
      </w:r>
      <w:r>
        <w:rPr>
          <w:rFonts w:cs="Arial"/>
        </w:rPr>
        <w:t>ς</w:t>
      </w:r>
      <w:r>
        <w:rPr>
          <w:rFonts w:cs="Arial"/>
        </w:rPr>
        <w:t xml:space="preserve"> και υποχρεωτική αναγνώριση αυτού </w:t>
      </w:r>
      <w:r>
        <w:rPr>
          <w:rFonts w:cs="Arial"/>
        </w:rPr>
        <w:t>και τη δωρεάν διανομή των μουσικών και καλλιτεχνικών βιβλίων και του συνόλου του απαραίτητου εξοπλισμού, που απαιτείται για τα μουσικά και καλλιτεχνικά μαθήματα.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600"/>
        <w:ind w:left="4500" w:right="0" w:hanging="0"/>
        <w:jc w:val="center"/>
        <w:rPr>
          <w:rFonts w:cs="Arial"/>
          <w:b/>
          <w:b/>
        </w:rPr>
      </w:pPr>
      <w:r>
        <w:rPr>
          <w:rFonts w:cs="Arial"/>
          <w:b/>
        </w:rPr>
        <w:t xml:space="preserve">Αθήνα </w:t>
      </w:r>
      <w:r>
        <w:rPr>
          <w:rFonts w:cs="Arial"/>
          <w:b/>
        </w:rPr>
        <w:t>22/11/2022</w:t>
      </w:r>
    </w:p>
    <w:p>
      <w:pPr>
        <w:pStyle w:val="Normal"/>
        <w:tabs>
          <w:tab w:val="clear" w:pos="709"/>
          <w:tab w:val="left" w:pos="340" w:leader="none"/>
        </w:tabs>
        <w:spacing w:lineRule="auto" w:line="600" w:before="0" w:after="0"/>
        <w:ind w:left="4500" w:right="0" w:hanging="0"/>
        <w:jc w:val="center"/>
        <w:rPr>
          <w:rFonts w:cs="Arial"/>
          <w:b/>
          <w:b/>
          <w:bCs/>
        </w:rPr>
      </w:pPr>
      <w:r>
        <w:rPr>
          <w:rFonts w:cs="Arial"/>
          <w:b/>
          <w:bCs/>
        </w:rPr>
        <w:t>Οι καταθέτοντες βουλευτές</w:t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73465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7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340" w:leader="none"/>
        </w:tabs>
        <w:suppressAutoHyphens w:val="true"/>
        <w:overflowPunct w:val="false"/>
        <w:bidi w:val="0"/>
        <w:spacing w:lineRule="auto" w:line="600" w:before="0" w:after="0"/>
        <w:ind w:left="0" w:right="0" w:hanging="0"/>
        <w:jc w:val="left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796655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9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WenQuanYi Micro Hei" w:cs="Lohit Devanagari"/>
        <w:sz w:val="20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Arial" w:hAnsi="Arial" w:eastAsia="WenQuanYi Micro Hei" w:cs="Arial"/>
      <w:color w:val="auto"/>
      <w:kern w:val="2"/>
      <w:sz w:val="24"/>
      <w:szCs w:val="24"/>
      <w:lang w:val="el-GR" w:eastAsia="zh-CN" w:bidi="hi-IN"/>
    </w:rPr>
  </w:style>
  <w:style w:type="paragraph" w:styleId="Heading3">
    <w:name w:val="Heading 3"/>
    <w:basedOn w:val="Normal"/>
    <w:next w:val="TextBody"/>
    <w:qFormat/>
    <w:pPr>
      <w:keepNext w:val="true"/>
      <w:numPr>
        <w:ilvl w:val="2"/>
        <w:numId w:val="1"/>
      </w:numPr>
      <w:tabs>
        <w:tab w:val="clear" w:pos="709"/>
        <w:tab w:val="left" w:pos="397" w:leader="none"/>
      </w:tabs>
      <w:overflowPunct w:val="false"/>
      <w:ind w:left="0" w:right="0" w:hanging="0"/>
      <w:jc w:val="center"/>
      <w:textAlignment w:val="baseline"/>
      <w:outlineLvl w:val="2"/>
    </w:pPr>
    <w:rPr>
      <w:rFonts w:ascii="Arial" w:hAnsi="Arial" w:cs="Arial"/>
      <w:b/>
      <w:spacing w:val="20"/>
      <w:sz w:val="44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istContents">
    <w:name w:val="List Contents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ΑΝΑΦΟΡΑ</Template>
  <TotalTime>4</TotalTime>
  <Application>LibreOffice/6.4.7.2$Linux_X86_64 LibreOffice_project/40$Build-2</Application>
  <Pages>3</Pages>
  <Words>127</Words>
  <Characters>884</Characters>
  <CharactersWithSpaces>1000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2022-11-22T13:41:28Z</dcterms:created>
  <dc:creator/>
  <dc:description/>
  <dc:language>el-GR</dc:language>
  <cp:lastModifiedBy/>
  <dcterms:modified xsi:type="dcterms:W3CDTF">2022-11-22T13:56:32Z</dcterms:modified>
  <cp:revision>2</cp:revision>
  <dc:subject/>
  <dc:title>ΠΡΟΤΥΠΟ ΑΝΑΦΟΡΑ</dc:title>
</cp:coreProperties>
</file>