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jc w:val="right"/>
        <w:rPr>
          <w:rFonts w:cs="Calibri" w:cstheme="minorHAnsi"/>
          <w:bCs/>
          <w:sz w:val="24"/>
          <w:szCs w:val="24"/>
          <w:shd w:fill="FFFFFF" w:val="clear"/>
        </w:rPr>
      </w:pPr>
      <w:r>
        <w:rPr>
          <w:rStyle w:val="Strong"/>
          <w:rFonts w:cs="Calibri" w:cstheme="minorHAnsi"/>
          <w:b w:val="false"/>
          <w:sz w:val="24"/>
          <w:szCs w:val="24"/>
          <w:shd w:fill="FFFFFF" w:val="clear"/>
        </w:rPr>
        <w:t>20 Απριλίου 2022</w:t>
      </w:r>
    </w:p>
    <w:p>
      <w:pPr>
        <w:pStyle w:val="Normal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/>
      </w:r>
    </w:p>
    <w:p>
      <w:pPr>
        <w:pStyle w:val="IntenseQuote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 xml:space="preserve">Κατώτατος μισθός 2022 – Πίνακες και Διαγράμματα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 xml:space="preserve">Μεταβολή κατώτατου μισθού/ημερομισθίου και επιδόματος ανεργίας </w:t>
      </w:r>
    </w:p>
    <w:p>
      <w:pPr>
        <w:pStyle w:val="Normal"/>
        <w:spacing w:lineRule="auto" w:line="240" w:before="0" w:after="0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(σε ευρώ)</w:t>
      </w:r>
    </w:p>
    <w:tbl>
      <w:tblPr>
        <w:tblStyle w:val="GridTable4Accent1"/>
        <w:tblW w:w="85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60"/>
        <w:gridCol w:w="1549"/>
        <w:gridCol w:w="1567"/>
        <w:gridCol w:w="1114"/>
        <w:gridCol w:w="1532"/>
      </w:tblGrid>
      <w:tr>
        <w:trPr>
          <w:cnfStyle w:val="100000000000"/>
        </w:trPr>
        <w:tc>
          <w:tcPr>
            <w:tcW w:w="2760" w:type="dxa"/>
            <w:cnfStyle w:val="001000000000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color="auto" w:fill="4472C4" w:themeFill="accent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b/>
                <w:bCs/>
                <w:color w:val="FFFFFF"/>
                <w:kern w:val="0"/>
                <w:sz w:val="22"/>
                <w:szCs w:val="22"/>
                <w:lang w:val="el-GR" w:eastAsia="en-US" w:bidi="ar-SA"/>
              </w:rPr>
            </w:r>
          </w:p>
        </w:tc>
        <w:tc>
          <w:tcPr>
            <w:tcW w:w="15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color="auto" w:fill="4472C4" w:themeFill="accent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Century Gothic" w:hAnsi="Century Gothic"/>
                <w:b w:val="false"/>
                <w:b w:val="false"/>
                <w:bCs w:val="false"/>
              </w:rPr>
            </w:pPr>
            <w:r>
              <w:rPr>
                <w:rFonts w:eastAsia="Calibri" w:cs="" w:ascii="Century Gothic" w:hAnsi="Century Gothic"/>
                <w:b/>
                <w:bCs/>
                <w:color w:val="FFFFFF"/>
                <w:kern w:val="0"/>
                <w:sz w:val="22"/>
                <w:szCs w:val="22"/>
                <w:lang w:val="el-GR" w:eastAsia="en-US" w:bidi="ar-SA"/>
              </w:rPr>
              <w:t>ΔΕΚΕΜΒΡΙΟΣ 2021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color="auto" w:fill="4472C4" w:themeFill="accent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Century Gothic" w:hAnsi="Century Gothic"/>
                <w:b w:val="false"/>
                <w:b w:val="false"/>
                <w:bCs w:val="false"/>
              </w:rPr>
            </w:pPr>
            <w:r>
              <w:rPr>
                <w:rFonts w:eastAsia="Calibri" w:cs="" w:ascii="Century Gothic" w:hAnsi="Century Gothic"/>
                <w:b/>
                <w:bCs/>
                <w:color w:val="FFFFFF"/>
                <w:kern w:val="0"/>
                <w:sz w:val="22"/>
                <w:szCs w:val="22"/>
                <w:lang w:val="el-GR" w:eastAsia="en-US" w:bidi="ar-SA"/>
              </w:rPr>
              <w:t>ΙΑΝΟΥΑΡΙΟΣ 2022</w:t>
            </w:r>
          </w:p>
        </w:tc>
        <w:tc>
          <w:tcPr>
            <w:tcW w:w="11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color="auto" w:fill="4472C4" w:themeFill="accent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eastAsia="Calibri" w:cs="" w:ascii="Century Gothic" w:hAnsi="Century Gothic"/>
                <w:b/>
                <w:bCs/>
                <w:color w:val="FFFFFF"/>
                <w:kern w:val="0"/>
                <w:sz w:val="26"/>
                <w:szCs w:val="26"/>
                <w:lang w:val="el-GR" w:eastAsia="en-US" w:bidi="ar-SA"/>
              </w:rPr>
              <w:t>ΜΑΪΟΣ 2022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color="auto" w:fill="4472C4" w:themeFill="accent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eastAsia="Calibri" w:cs="" w:ascii="Century Gothic" w:hAnsi="Century Gothic"/>
                <w:b/>
                <w:bCs/>
                <w:color w:val="FFFFFF"/>
                <w:kern w:val="0"/>
                <w:sz w:val="26"/>
                <w:szCs w:val="26"/>
                <w:lang w:val="el-GR" w:eastAsia="en-US" w:bidi="ar-SA"/>
              </w:rPr>
              <w:t>ΣΩΡΕΥΤΙΚΗ ΑΥΞΗΣΗ</w:t>
            </w:r>
          </w:p>
        </w:tc>
      </w:tr>
      <w:tr>
        <w:trPr>
          <w:cnfStyle w:val="000000100000"/>
        </w:trPr>
        <w:tc>
          <w:tcPr>
            <w:tcW w:w="2760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2"/>
                <w:szCs w:val="22"/>
                <w:lang w:val="el-GR" w:eastAsia="en-US" w:bidi="ar-SA"/>
              </w:rPr>
              <w:t xml:space="preserve">Κατώτατος μισθός  </w:t>
            </w:r>
          </w:p>
        </w:tc>
        <w:tc>
          <w:tcPr>
            <w:tcW w:w="1549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kern w:val="0"/>
                <w:sz w:val="22"/>
                <w:szCs w:val="22"/>
                <w:lang w:val="el-GR" w:eastAsia="en-US" w:bidi="ar-SA"/>
              </w:rPr>
              <w:t>650</w:t>
            </w:r>
          </w:p>
        </w:tc>
        <w:tc>
          <w:tcPr>
            <w:tcW w:w="1567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kern w:val="0"/>
                <w:sz w:val="22"/>
                <w:szCs w:val="22"/>
                <w:lang w:val="el-GR" w:eastAsia="en-US" w:bidi="ar-SA"/>
              </w:rPr>
              <w:t>663</w:t>
            </w:r>
          </w:p>
        </w:tc>
        <w:tc>
          <w:tcPr>
            <w:tcW w:w="1114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6"/>
                <w:szCs w:val="26"/>
                <w:u w:val="single"/>
                <w:lang w:val="el-GR" w:eastAsia="en-US" w:bidi="ar-SA"/>
              </w:rPr>
              <w:t>713</w:t>
            </w:r>
          </w:p>
        </w:tc>
        <w:tc>
          <w:tcPr>
            <w:tcW w:w="1532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6"/>
                <w:szCs w:val="26"/>
                <w:u w:val="single"/>
                <w:lang w:val="el-GR" w:eastAsia="en-US" w:bidi="ar-SA"/>
              </w:rPr>
              <w:t>63</w:t>
            </w:r>
          </w:p>
        </w:tc>
      </w:tr>
      <w:tr>
        <w:trPr/>
        <w:tc>
          <w:tcPr>
            <w:tcW w:w="2760" w:type="dxa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2"/>
                <w:szCs w:val="22"/>
                <w:lang w:val="el-GR" w:eastAsia="en-US" w:bidi="ar-SA"/>
              </w:rPr>
              <w:t xml:space="preserve">Κατώτατο ημερομίσθιο  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kern w:val="0"/>
                <w:sz w:val="22"/>
                <w:szCs w:val="22"/>
                <w:lang w:val="el-GR" w:eastAsia="en-US" w:bidi="ar-SA"/>
              </w:rPr>
              <w:t>29,04</w:t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kern w:val="0"/>
                <w:sz w:val="22"/>
                <w:szCs w:val="22"/>
                <w:lang w:val="el-GR" w:eastAsia="en-US" w:bidi="ar-SA"/>
              </w:rPr>
              <w:t>29,62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6"/>
                <w:szCs w:val="26"/>
                <w:lang w:val="el-GR" w:eastAsia="en-US" w:bidi="ar-SA"/>
              </w:rPr>
              <w:t>31,85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6"/>
                <w:szCs w:val="26"/>
                <w:lang w:val="el-GR" w:eastAsia="en-US" w:bidi="ar-SA"/>
              </w:rPr>
              <w:t>2,81</w:t>
            </w:r>
          </w:p>
        </w:tc>
      </w:tr>
      <w:tr>
        <w:trPr>
          <w:cnfStyle w:val="000000100000"/>
        </w:trPr>
        <w:tc>
          <w:tcPr>
            <w:tcW w:w="2760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2"/>
                <w:szCs w:val="22"/>
                <w:lang w:val="el-GR" w:eastAsia="en-US" w:bidi="ar-SA"/>
              </w:rPr>
              <w:t>Μισθός σε 12μηνη βάση</w:t>
            </w:r>
          </w:p>
        </w:tc>
        <w:tc>
          <w:tcPr>
            <w:tcW w:w="1549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kern w:val="0"/>
                <w:sz w:val="22"/>
                <w:szCs w:val="22"/>
                <w:lang w:val="el-GR" w:eastAsia="en-US" w:bidi="ar-SA"/>
              </w:rPr>
              <w:t>758,3</w:t>
            </w:r>
          </w:p>
        </w:tc>
        <w:tc>
          <w:tcPr>
            <w:tcW w:w="1567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kern w:val="0"/>
                <w:sz w:val="22"/>
                <w:szCs w:val="22"/>
                <w:lang w:val="el-GR" w:eastAsia="en-US" w:bidi="ar-SA"/>
              </w:rPr>
              <w:t>773,5</w:t>
            </w:r>
          </w:p>
        </w:tc>
        <w:tc>
          <w:tcPr>
            <w:tcW w:w="1114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6"/>
                <w:szCs w:val="26"/>
                <w:lang w:val="el-GR" w:eastAsia="en-US" w:bidi="ar-SA"/>
              </w:rPr>
              <w:t>831,8</w:t>
            </w:r>
          </w:p>
        </w:tc>
        <w:tc>
          <w:tcPr>
            <w:tcW w:w="1532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6"/>
                <w:szCs w:val="26"/>
                <w:lang w:val="el-GR" w:eastAsia="en-US" w:bidi="ar-SA"/>
              </w:rPr>
              <w:t>73,5</w:t>
            </w:r>
          </w:p>
        </w:tc>
      </w:tr>
      <w:tr>
        <w:trPr/>
        <w:tc>
          <w:tcPr>
            <w:tcW w:w="2760" w:type="dxa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2"/>
                <w:szCs w:val="22"/>
                <w:lang w:val="el-GR" w:eastAsia="en-US" w:bidi="ar-SA"/>
              </w:rPr>
              <w:t xml:space="preserve">Επίδομα ανεργίας 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kern w:val="0"/>
                <w:sz w:val="22"/>
                <w:szCs w:val="22"/>
                <w:lang w:val="el-GR" w:eastAsia="en-US" w:bidi="ar-SA"/>
              </w:rPr>
              <w:t>399</w:t>
            </w:r>
          </w:p>
        </w:tc>
        <w:tc>
          <w:tcPr>
            <w:tcW w:w="1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</w:rPr>
            </w:pPr>
            <w:r>
              <w:rPr>
                <w:rFonts w:eastAsia="Calibri" w:cs="" w:ascii="Century Gothic" w:hAnsi="Century Gothic"/>
                <w:kern w:val="0"/>
                <w:sz w:val="22"/>
                <w:szCs w:val="22"/>
                <w:lang w:val="el-GR" w:eastAsia="en-US" w:bidi="ar-SA"/>
              </w:rPr>
              <w:t>407</w:t>
            </w:r>
          </w:p>
        </w:tc>
        <w:tc>
          <w:tcPr>
            <w:tcW w:w="1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6"/>
                <w:szCs w:val="26"/>
                <w:lang w:val="el-GR" w:eastAsia="en-US" w:bidi="ar-SA"/>
              </w:rPr>
              <w:t>438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6"/>
                <w:szCs w:val="26"/>
                <w:lang w:val="el-GR" w:eastAsia="en-US" w:bidi="ar-SA"/>
              </w:rPr>
              <w:t>39</w:t>
            </w:r>
          </w:p>
        </w:tc>
      </w:tr>
    </w:tbl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Μεικτός κατώτατος μισθός: Σύγκριση ΣΥΡΙΖΑ και ΝΔ</w:t>
      </w:r>
    </w:p>
    <w:tbl>
      <w:tblPr>
        <w:tblStyle w:val="GridTable4Accent1"/>
        <w:tblW w:w="66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00"/>
        <w:gridCol w:w="1760"/>
        <w:gridCol w:w="1625"/>
        <w:gridCol w:w="1773"/>
      </w:tblGrid>
      <w:tr>
        <w:trPr>
          <w:cnfStyle w:val="100000000000"/>
        </w:trPr>
        <w:tc>
          <w:tcPr>
            <w:tcW w:w="6658" w:type="dxa"/>
            <w:gridSpan w:val="4"/>
            <w:cnfStyle w:val="001000000000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color="auto" w:fill="ACB9CA" w:themeFill="text2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entury Gothic" w:hAnsi="Century Gothic"/>
                <w:i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Calibri" w:cs="" w:ascii="Century Gothic" w:hAnsi="Century Gothic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lang w:val="el-GR" w:eastAsia="en-US" w:bidi="ar-SA"/>
              </w:rPr>
              <w:t>Μεικτός κατώτατος μισθός</w:t>
            </w:r>
          </w:p>
        </w:tc>
      </w:tr>
      <w:tr>
        <w:trPr>
          <w:cnfStyle w:val="000000100000"/>
        </w:trPr>
        <w:tc>
          <w:tcPr>
            <w:tcW w:w="1500" w:type="dxa"/>
            <w:cnfStyle w:val="001000000000"/>
            <w:tcBorders/>
            <w:shd w:color="auto" w:fill="FF000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color w:val="FFFFFF" w:themeColor="background1"/>
                <w:kern w:val="0"/>
                <w:sz w:val="24"/>
                <w:szCs w:val="24"/>
                <w:lang w:val="el-GR" w:eastAsia="en-US" w:bidi="ar-SA"/>
              </w:rPr>
              <w:t>Επί ΣΥΡΙΖΑ</w:t>
            </w:r>
          </w:p>
        </w:tc>
        <w:tc>
          <w:tcPr>
            <w:tcW w:w="1760" w:type="dxa"/>
            <w:tcBorders/>
            <w:shd w:color="auto" w:fill="2F5496" w:themeFill="accent1" w:themeFillShade="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color w:val="FFFFFF" w:themeColor="background1"/>
                <w:kern w:val="0"/>
                <w:sz w:val="24"/>
                <w:szCs w:val="24"/>
                <w:lang w:val="el-GR" w:eastAsia="en-US" w:bidi="ar-SA"/>
              </w:rPr>
              <w:t>Από 1/5/2022</w:t>
            </w:r>
          </w:p>
        </w:tc>
        <w:tc>
          <w:tcPr>
            <w:tcW w:w="1625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color w:val="1F3864" w:themeColor="accent1" w:themeShade="80"/>
                <w:kern w:val="0"/>
                <w:sz w:val="24"/>
                <w:szCs w:val="24"/>
                <w:lang w:val="el-GR" w:eastAsia="en-US" w:bidi="ar-SA"/>
              </w:rPr>
              <w:t>% αύξηση</w:t>
            </w:r>
          </w:p>
        </w:tc>
        <w:tc>
          <w:tcPr>
            <w:tcW w:w="1773" w:type="dxa"/>
            <w:tcBorders/>
            <w:shd w:color="auto" w:fill="1F3864" w:themeFill="accent1" w:themeFillShade="8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b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color w:val="FFFFFF" w:themeColor="background1"/>
                <w:kern w:val="0"/>
                <w:sz w:val="24"/>
                <w:szCs w:val="24"/>
                <w:lang w:val="el-GR" w:eastAsia="en-US" w:bidi="ar-SA"/>
              </w:rPr>
              <w:t xml:space="preserve">Ετήσιο όφελος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color w:val="FFFFFF" w:themeColor="background1"/>
                <w:kern w:val="0"/>
                <w:sz w:val="24"/>
                <w:szCs w:val="24"/>
                <w:lang w:val="el-GR" w:eastAsia="en-US" w:bidi="ar-SA"/>
              </w:rPr>
              <w:t>(σε ευρώ)</w:t>
            </w:r>
          </w:p>
        </w:tc>
      </w:tr>
      <w:tr>
        <w:trPr/>
        <w:tc>
          <w:tcPr>
            <w:tcW w:w="1500" w:type="dxa"/>
            <w:cnfStyle w:val="001000000000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entury Gothic" w:hAnsi="Century Gothic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 w:val="false"/>
                <w:bCs w:val="false"/>
                <w:kern w:val="0"/>
                <w:sz w:val="24"/>
                <w:szCs w:val="24"/>
                <w:lang w:val="el-GR" w:eastAsia="en-US" w:bidi="ar-SA"/>
              </w:rPr>
              <w:t>650</w:t>
            </w:r>
          </w:p>
        </w:tc>
        <w:tc>
          <w:tcPr>
            <w:tcW w:w="17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kern w:val="0"/>
                <w:sz w:val="24"/>
                <w:szCs w:val="24"/>
                <w:lang w:val="el-GR" w:eastAsia="en-US" w:bidi="ar-SA"/>
              </w:rPr>
              <w:t>713</w:t>
            </w:r>
          </w:p>
        </w:tc>
        <w:tc>
          <w:tcPr>
            <w:tcW w:w="1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  <w:b/>
                <w:b/>
                <w:bCs/>
                <w:color w:val="1F3864" w:themeColor="accent1" w:themeShade="80"/>
                <w:sz w:val="28"/>
                <w:szCs w:val="28"/>
                <w:u w:val="single"/>
              </w:rPr>
            </w:pPr>
            <w:r>
              <w:rPr>
                <w:rFonts w:eastAsia="Calibri" w:cs="" w:ascii="Century Gothic" w:hAnsi="Century Gothic"/>
                <w:b/>
                <w:bCs/>
                <w:color w:val="1F3864" w:themeColor="accent1" w:themeShade="80"/>
                <w:kern w:val="0"/>
                <w:sz w:val="32"/>
                <w:szCs w:val="32"/>
                <w:u w:val="single"/>
                <w:lang w:val="el-GR" w:eastAsia="en-US" w:bidi="ar-SA"/>
              </w:rPr>
              <w:t>9,7%</w:t>
            </w:r>
          </w:p>
        </w:tc>
        <w:tc>
          <w:tcPr>
            <w:tcW w:w="17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  <w:b/>
                <w:b/>
                <w:bCs/>
                <w:color w:val="1F3864" w:themeColor="accent1" w:themeShade="80"/>
                <w:sz w:val="28"/>
                <w:szCs w:val="28"/>
                <w:u w:val="single"/>
              </w:rPr>
            </w:pPr>
            <w:r>
              <w:rPr>
                <w:rFonts w:eastAsia="Calibri" w:cs="" w:ascii="Century Gothic" w:hAnsi="Century Gothic"/>
                <w:b/>
                <w:bCs/>
                <w:color w:val="1F3864" w:themeColor="accent1" w:themeShade="80"/>
                <w:kern w:val="0"/>
                <w:sz w:val="36"/>
                <w:szCs w:val="36"/>
                <w:u w:val="single"/>
                <w:lang w:val="el-GR" w:eastAsia="en-US" w:bidi="ar-SA"/>
              </w:rPr>
              <w:t>882</w:t>
            </w:r>
          </w:p>
        </w:tc>
      </w:tr>
    </w:tbl>
    <w:p>
      <w:pPr>
        <w:pStyle w:val="Normal"/>
        <w:rPr>
          <w:rFonts w:ascii="Century Gothic" w:hAnsi="Century Gothic"/>
          <w:b/>
          <w:b/>
          <w:bCs/>
          <w:color w:val="FFFFFF" w:themeColor="background1"/>
          <w:sz w:val="24"/>
          <w:szCs w:val="24"/>
        </w:rPr>
      </w:pPr>
      <w:r>
        <w:rPr>
          <w:rFonts w:ascii="Century Gothic" w:hAnsi="Century Gothic"/>
          <w:b/>
          <w:bCs/>
          <w:color w:val="FFFFFF" w:themeColor="background1"/>
          <w:sz w:val="24"/>
          <w:szCs w:val="24"/>
        </w:rPr>
      </w:r>
    </w:p>
    <w:p>
      <w:pPr>
        <w:pStyle w:val="Normal"/>
        <w:rPr>
          <w:b/>
          <w:b/>
          <w:bCs/>
        </w:rPr>
      </w:pPr>
      <w:r>
        <w:rPr/>
        <w:drawing>
          <wp:inline distT="0" distB="0" distL="0" distR="0">
            <wp:extent cx="5274310" cy="3330575"/>
            <wp:effectExtent l="0" t="0" r="0" b="0"/>
            <wp:docPr id="1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 xml:space="preserve">Προσαύξηση κατώτατου μισθού και ημερομισθίου λόγω προϋπηρεσίας (τριετίες)*  </w:t>
      </w:r>
    </w:p>
    <w:tbl>
      <w:tblPr>
        <w:tblStyle w:val="GridTable4Accent1"/>
        <w:tblW w:w="72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79"/>
        <w:gridCol w:w="1702"/>
        <w:gridCol w:w="1984"/>
        <w:gridCol w:w="1559"/>
      </w:tblGrid>
      <w:tr>
        <w:trPr>
          <w:trHeight w:val="288" w:hRule="atLeast"/>
          <w:cnfStyle w:val="100000000000"/>
        </w:trPr>
        <w:tc>
          <w:tcPr>
            <w:tcW w:w="1979" w:type="dxa"/>
            <w:cnfStyle w:val="001000000000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color="auto" w:fill="4472C4" w:themeFill="accent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entury Gothic" w:hAnsi="Century Gothic" w:eastAsia="Times New Roman" w:cs="Calibri"/>
                <w:b w:val="false"/>
                <w:b w:val="false"/>
                <w:bCs w:val="false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FFFFFF"/>
                <w:kern w:val="0"/>
                <w:sz w:val="22"/>
                <w:szCs w:val="22"/>
                <w:lang w:val="el-GR" w:eastAsia="el-GR" w:bidi="ar-SA"/>
              </w:rPr>
              <w:t>Έτη προϋπηρεσίας</w:t>
            </w:r>
          </w:p>
        </w:tc>
        <w:tc>
          <w:tcPr>
            <w:tcW w:w="17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color="auto" w:fill="4472C4" w:themeFill="accent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Century Gothic" w:hAnsi="Century Gothic" w:eastAsia="Times New Roman" w:cs="Calibri"/>
                <w:b w:val="false"/>
                <w:b w:val="false"/>
                <w:bCs w:val="false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FFFFFF"/>
                <w:kern w:val="0"/>
                <w:sz w:val="22"/>
                <w:szCs w:val="22"/>
                <w:lang w:val="el-GR" w:eastAsia="el-GR" w:bidi="ar-SA"/>
              </w:rPr>
              <w:t>Προσαύξηση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Century Gothic" w:hAnsi="Century Gothic" w:eastAsia="Times New Roman" w:cs="Calibri"/>
                <w:b w:val="false"/>
                <w:b w:val="false"/>
                <w:bCs w:val="false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FFFFFF"/>
                <w:kern w:val="0"/>
                <w:sz w:val="22"/>
                <w:szCs w:val="22"/>
                <w:lang w:val="el-GR" w:eastAsia="el-GR" w:bidi="ar-SA"/>
              </w:rPr>
              <w:t>(%)</w:t>
            </w:r>
          </w:p>
        </w:tc>
        <w:tc>
          <w:tcPr>
            <w:tcW w:w="19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color="auto" w:fill="4472C4" w:themeFill="accent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Century Gothic" w:hAnsi="Century Gothic" w:eastAsia="Times New Roman" w:cs="Calibri"/>
                <w:b w:val="false"/>
                <w:b w:val="false"/>
                <w:bCs w:val="false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FFFFFF"/>
                <w:kern w:val="0"/>
                <w:sz w:val="22"/>
                <w:szCs w:val="22"/>
                <w:lang w:val="el-GR" w:eastAsia="el-GR" w:bidi="ar-SA"/>
              </w:rPr>
              <w:t>Ύψος μηνιαίων αποδοχών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color="auto" w:fill="4472C4" w:themeFill="accent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Century Gothic" w:hAnsi="Century Gothic" w:eastAsia="Times New Roman" w:cs="Calibri"/>
                <w:b w:val="false"/>
                <w:b w:val="false"/>
                <w:bCs w:val="false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FFFFFF"/>
                <w:kern w:val="0"/>
                <w:sz w:val="22"/>
                <w:szCs w:val="22"/>
                <w:lang w:val="el-GR" w:eastAsia="el-GR" w:bidi="ar-SA"/>
              </w:rPr>
              <w:t>Πρόσθετες αποδοχές</w:t>
            </w:r>
          </w:p>
        </w:tc>
      </w:tr>
      <w:tr>
        <w:trPr>
          <w:trHeight w:val="288" w:hRule="atLeast"/>
          <w:cnfStyle w:val="000000100000"/>
        </w:trPr>
        <w:tc>
          <w:tcPr>
            <w:tcW w:w="7224" w:type="dxa"/>
            <w:gridSpan w:val="4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entury Gothic" w:hAnsi="Century Gothic" w:eastAsia="Times New Roman" w:cs="Calibri"/>
                <w:b w:val="false"/>
                <w:b w:val="false"/>
                <w:bCs w:val="false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Υπάλληλοι</w:t>
            </w:r>
          </w:p>
        </w:tc>
      </w:tr>
      <w:tr>
        <w:trPr>
          <w:trHeight w:val="288" w:hRule="atLeast"/>
        </w:trPr>
        <w:tc>
          <w:tcPr>
            <w:tcW w:w="1979" w:type="dxa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0-3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0%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713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-</w:t>
            </w:r>
          </w:p>
        </w:tc>
      </w:tr>
      <w:tr>
        <w:trPr>
          <w:trHeight w:val="288" w:hRule="atLeast"/>
          <w:cnfStyle w:val="000000100000"/>
        </w:trPr>
        <w:tc>
          <w:tcPr>
            <w:tcW w:w="1979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3-6</w:t>
            </w:r>
          </w:p>
        </w:tc>
        <w:tc>
          <w:tcPr>
            <w:tcW w:w="1702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10%</w:t>
            </w:r>
          </w:p>
        </w:tc>
        <w:tc>
          <w:tcPr>
            <w:tcW w:w="1984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784,3</w:t>
            </w:r>
          </w:p>
        </w:tc>
        <w:tc>
          <w:tcPr>
            <w:tcW w:w="1559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ascii="Century Gothic" w:hAnsi="Century Gothic"/>
                <w:kern w:val="0"/>
                <w:sz w:val="22"/>
                <w:szCs w:val="22"/>
                <w:lang w:val="el-GR" w:eastAsia="en-US" w:bidi="ar-SA"/>
              </w:rPr>
              <w:t>71,3</w:t>
            </w:r>
          </w:p>
        </w:tc>
      </w:tr>
      <w:tr>
        <w:trPr>
          <w:trHeight w:val="288" w:hRule="atLeast"/>
        </w:trPr>
        <w:tc>
          <w:tcPr>
            <w:tcW w:w="1979" w:type="dxa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6-9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20%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855,6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ascii="Century Gothic" w:hAnsi="Century Gothic"/>
                <w:kern w:val="0"/>
                <w:sz w:val="22"/>
                <w:szCs w:val="22"/>
                <w:lang w:val="el-GR" w:eastAsia="en-US" w:bidi="ar-SA"/>
              </w:rPr>
              <w:t>142,6</w:t>
            </w:r>
          </w:p>
        </w:tc>
      </w:tr>
      <w:tr>
        <w:trPr>
          <w:trHeight w:val="288" w:hRule="atLeast"/>
          <w:cnfStyle w:val="000000100000"/>
        </w:trPr>
        <w:tc>
          <w:tcPr>
            <w:tcW w:w="1979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&gt;9</w:t>
            </w:r>
          </w:p>
        </w:tc>
        <w:tc>
          <w:tcPr>
            <w:tcW w:w="1702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30%</w:t>
            </w:r>
          </w:p>
        </w:tc>
        <w:tc>
          <w:tcPr>
            <w:tcW w:w="1984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926,9</w:t>
            </w:r>
          </w:p>
        </w:tc>
        <w:tc>
          <w:tcPr>
            <w:tcW w:w="1559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ascii="Century Gothic" w:hAnsi="Century Gothic"/>
                <w:kern w:val="0"/>
                <w:sz w:val="22"/>
                <w:szCs w:val="22"/>
                <w:lang w:val="el-GR" w:eastAsia="en-US" w:bidi="ar-SA"/>
              </w:rPr>
              <w:t>213,9</w:t>
            </w:r>
          </w:p>
        </w:tc>
      </w:tr>
      <w:tr>
        <w:trPr>
          <w:trHeight w:val="288" w:hRule="atLeast"/>
        </w:trPr>
        <w:tc>
          <w:tcPr>
            <w:tcW w:w="7224" w:type="dxa"/>
            <w:gridSpan w:val="4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entury Gothic" w:hAnsi="Century Gothic" w:eastAsia="Times New Roman" w:cs="Calibri"/>
                <w:b w:val="false"/>
                <w:b w:val="false"/>
                <w:bCs w:val="false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l-GR" w:eastAsia="el-GR" w:bidi="ar-SA"/>
              </w:rPr>
              <w:t>Εργατοτεχνίτες</w:t>
            </w:r>
          </w:p>
        </w:tc>
      </w:tr>
      <w:tr>
        <w:trPr>
          <w:trHeight w:val="288" w:hRule="atLeast"/>
          <w:cnfStyle w:val="000000100000"/>
        </w:trPr>
        <w:tc>
          <w:tcPr>
            <w:tcW w:w="1979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n-GB" w:eastAsia="el-GR" w:bidi="ar-SA"/>
              </w:rPr>
              <w:t>0-3</w:t>
            </w:r>
          </w:p>
        </w:tc>
        <w:tc>
          <w:tcPr>
            <w:tcW w:w="1702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0%</w:t>
            </w:r>
          </w:p>
        </w:tc>
        <w:tc>
          <w:tcPr>
            <w:tcW w:w="1984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31,85</w:t>
            </w:r>
          </w:p>
        </w:tc>
        <w:tc>
          <w:tcPr>
            <w:tcW w:w="1559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1979" w:type="dxa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n-GB" w:eastAsia="el-GR" w:bidi="ar-SA"/>
              </w:rPr>
              <w:t>3-6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5%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33,45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ascii="Century Gothic" w:hAnsi="Century Gothic"/>
                <w:kern w:val="0"/>
                <w:sz w:val="22"/>
                <w:szCs w:val="22"/>
                <w:lang w:val="el-GR" w:eastAsia="en-US" w:bidi="ar-SA"/>
              </w:rPr>
              <w:t>1,59</w:t>
            </w:r>
          </w:p>
        </w:tc>
      </w:tr>
      <w:tr>
        <w:trPr>
          <w:trHeight w:val="288" w:hRule="atLeast"/>
          <w:cnfStyle w:val="000000100000"/>
        </w:trPr>
        <w:tc>
          <w:tcPr>
            <w:tcW w:w="1979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n-GB" w:eastAsia="el-GR" w:bidi="ar-SA"/>
              </w:rPr>
              <w:t>6-9</w:t>
            </w:r>
          </w:p>
        </w:tc>
        <w:tc>
          <w:tcPr>
            <w:tcW w:w="1702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10%</w:t>
            </w:r>
          </w:p>
        </w:tc>
        <w:tc>
          <w:tcPr>
            <w:tcW w:w="1984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35,04</w:t>
            </w:r>
          </w:p>
        </w:tc>
        <w:tc>
          <w:tcPr>
            <w:tcW w:w="1559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ascii="Century Gothic" w:hAnsi="Century Gothic"/>
                <w:kern w:val="0"/>
                <w:sz w:val="22"/>
                <w:szCs w:val="22"/>
                <w:lang w:val="el-GR" w:eastAsia="en-US" w:bidi="ar-SA"/>
              </w:rPr>
              <w:t>3,19</w:t>
            </w:r>
          </w:p>
        </w:tc>
      </w:tr>
      <w:tr>
        <w:trPr>
          <w:trHeight w:val="288" w:hRule="atLeast"/>
        </w:trPr>
        <w:tc>
          <w:tcPr>
            <w:tcW w:w="1979" w:type="dxa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n-GB" w:eastAsia="el-GR" w:bidi="ar-SA"/>
              </w:rPr>
              <w:t>9-12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15%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36,63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ascii="Century Gothic" w:hAnsi="Century Gothic"/>
                <w:kern w:val="0"/>
                <w:sz w:val="22"/>
                <w:szCs w:val="22"/>
                <w:lang w:val="el-GR" w:eastAsia="en-US" w:bidi="ar-SA"/>
              </w:rPr>
              <w:t>4,78</w:t>
            </w:r>
          </w:p>
        </w:tc>
      </w:tr>
      <w:tr>
        <w:trPr>
          <w:trHeight w:val="288" w:hRule="atLeast"/>
          <w:cnfStyle w:val="000000100000"/>
        </w:trPr>
        <w:tc>
          <w:tcPr>
            <w:tcW w:w="1979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n-GB" w:eastAsia="el-GR" w:bidi="ar-SA"/>
              </w:rPr>
              <w:t>12-15</w:t>
            </w:r>
          </w:p>
        </w:tc>
        <w:tc>
          <w:tcPr>
            <w:tcW w:w="1702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20%</w:t>
            </w:r>
          </w:p>
        </w:tc>
        <w:tc>
          <w:tcPr>
            <w:tcW w:w="1984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38,22</w:t>
            </w:r>
          </w:p>
        </w:tc>
        <w:tc>
          <w:tcPr>
            <w:tcW w:w="1559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ascii="Century Gothic" w:hAnsi="Century Gothic"/>
                <w:kern w:val="0"/>
                <w:sz w:val="22"/>
                <w:szCs w:val="22"/>
                <w:lang w:val="el-GR" w:eastAsia="en-US" w:bidi="ar-SA"/>
              </w:rPr>
              <w:t>6,37</w:t>
            </w:r>
          </w:p>
        </w:tc>
      </w:tr>
      <w:tr>
        <w:trPr>
          <w:trHeight w:val="288" w:hRule="atLeast"/>
        </w:trPr>
        <w:tc>
          <w:tcPr>
            <w:tcW w:w="1979" w:type="dxa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n-GB" w:eastAsia="el-GR" w:bidi="ar-SA"/>
              </w:rPr>
              <w:t>15-18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25%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39,82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0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ascii="Century Gothic" w:hAnsi="Century Gothic"/>
                <w:kern w:val="0"/>
                <w:sz w:val="22"/>
                <w:szCs w:val="22"/>
                <w:lang w:val="el-GR" w:eastAsia="en-US" w:bidi="ar-SA"/>
              </w:rPr>
              <w:t>7,96</w:t>
            </w:r>
          </w:p>
        </w:tc>
      </w:tr>
      <w:tr>
        <w:trPr>
          <w:trHeight w:val="288" w:hRule="atLeast"/>
          <w:cnfStyle w:val="000000100000"/>
        </w:trPr>
        <w:tc>
          <w:tcPr>
            <w:tcW w:w="1979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b/>
                <w:bCs/>
                <w:color w:val="000000"/>
                <w:kern w:val="0"/>
                <w:sz w:val="22"/>
                <w:szCs w:val="22"/>
                <w:lang w:val="en-GB" w:eastAsia="el-GR" w:bidi="ar-SA"/>
              </w:rPr>
              <w:t>18 και άνω</w:t>
            </w:r>
          </w:p>
        </w:tc>
        <w:tc>
          <w:tcPr>
            <w:tcW w:w="1702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30%</w:t>
            </w:r>
          </w:p>
        </w:tc>
        <w:tc>
          <w:tcPr>
            <w:tcW w:w="1984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eastAsia="Times New Roman" w:cs="Calibri" w:ascii="Century Gothic" w:hAnsi="Century Gothic"/>
                <w:color w:val="000000"/>
                <w:kern w:val="0"/>
                <w:sz w:val="22"/>
                <w:szCs w:val="22"/>
                <w:lang w:val="el-GR" w:eastAsia="el-GR" w:bidi="ar-SA"/>
              </w:rPr>
              <w:t>41,41</w:t>
            </w:r>
          </w:p>
        </w:tc>
        <w:tc>
          <w:tcPr>
            <w:tcW w:w="1559" w:type="dxa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cnfStyle w:val="000000100000"/>
              <w:rPr>
                <w:rFonts w:ascii="Century Gothic" w:hAnsi="Century Gothic" w:eastAsia="Times New Roman" w:cs="Calibri"/>
                <w:color w:val="000000"/>
                <w:lang w:eastAsia="el-GR"/>
              </w:rPr>
            </w:pPr>
            <w:r>
              <w:rPr>
                <w:rFonts w:ascii="Century Gothic" w:hAnsi="Century Gothic"/>
                <w:kern w:val="0"/>
                <w:sz w:val="22"/>
                <w:szCs w:val="22"/>
                <w:lang w:val="el-GR" w:eastAsia="en-US" w:bidi="ar-SA"/>
              </w:rPr>
              <w:t>9,56</w:t>
            </w:r>
          </w:p>
        </w:tc>
      </w:tr>
    </w:tbl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  <w:t>* συμπληρωθείσα υπηρεσία την 14.2.2012</w:t>
      </w:r>
    </w:p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  <w:bCs/>
          <w:i/>
        </w:rPr>
        <w:t>Για τους εργαζόμενους που έχουν προϋπηρεσία οι αποδοχές είναι αυξημένες κατά έως και 213 ευρώ το μήνα.</w:t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Αποτελέσματα της διαβούλευσης : οι προτάσεις των επιστημονικών φορέων και των κοινωνικών εταίρων για τον κατώτατο μισθό</w:t>
      </w:r>
    </w:p>
    <w:tbl>
      <w:tblPr>
        <w:tblStyle w:val="GridTable4Accent1"/>
        <w:tblW w:w="86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63"/>
        <w:gridCol w:w="6378"/>
      </w:tblGrid>
      <w:tr>
        <w:trPr>
          <w:cnfStyle w:val="100000000000"/>
        </w:trPr>
        <w:tc>
          <w:tcPr>
            <w:tcW w:w="2263" w:type="dxa"/>
            <w:cnfStyle w:val="001000000000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color="auto" w:fill="4472C4" w:themeFill="accent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color w:val="FFFFFF"/>
                <w:kern w:val="0"/>
                <w:sz w:val="24"/>
                <w:szCs w:val="24"/>
                <w:lang w:val="el-GR" w:eastAsia="en-US" w:bidi="ar-SA"/>
              </w:rPr>
              <w:t>Φορέας</w:t>
            </w:r>
          </w:p>
        </w:tc>
        <w:tc>
          <w:tcPr>
            <w:tcW w:w="63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color="auto" w:fill="4472C4" w:themeFill="accent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/>
              <w:rPr>
                <w:rFonts w:ascii="Century Gothic" w:hAnsi="Century Gothic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color w:val="FFFFFF"/>
                <w:kern w:val="0"/>
                <w:sz w:val="24"/>
                <w:szCs w:val="24"/>
                <w:lang w:val="el-GR" w:eastAsia="en-US" w:bidi="ar-SA"/>
              </w:rPr>
              <w:t>Πρόταση</w:t>
            </w:r>
          </w:p>
        </w:tc>
      </w:tr>
      <w:tr>
        <w:trPr>
          <w:cnfStyle w:val="000000100000"/>
        </w:trPr>
        <w:tc>
          <w:tcPr>
            <w:tcW w:w="2263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4"/>
                <w:szCs w:val="24"/>
                <w:lang w:val="el-GR" w:eastAsia="en-US" w:bidi="ar-SA"/>
              </w:rPr>
              <w:t xml:space="preserve">ΤτΕ </w:t>
            </w:r>
          </w:p>
        </w:tc>
        <w:tc>
          <w:tcPr>
            <w:tcW w:w="6378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kern w:val="0"/>
                <w:sz w:val="24"/>
                <w:szCs w:val="24"/>
                <w:lang w:val="el-GR" w:eastAsia="en-US" w:bidi="ar-SA"/>
              </w:rPr>
              <w:t>+ 2,7%-3,4%</w:t>
            </w:r>
          </w:p>
        </w:tc>
      </w:tr>
      <w:tr>
        <w:trPr/>
        <w:tc>
          <w:tcPr>
            <w:tcW w:w="2263" w:type="dxa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4"/>
                <w:szCs w:val="24"/>
                <w:lang w:val="el-GR" w:eastAsia="en-US" w:bidi="ar-SA"/>
              </w:rPr>
              <w:t>ΣΕΒ</w:t>
            </w:r>
          </w:p>
        </w:tc>
        <w:tc>
          <w:tcPr>
            <w:tcW w:w="6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kern w:val="0"/>
                <w:sz w:val="24"/>
                <w:szCs w:val="24"/>
                <w:lang w:val="el-GR" w:eastAsia="en-US" w:bidi="ar-SA"/>
              </w:rPr>
              <w:t>+ 4%</w:t>
            </w:r>
          </w:p>
        </w:tc>
      </w:tr>
      <w:tr>
        <w:trPr>
          <w:cnfStyle w:val="000000100000"/>
        </w:trPr>
        <w:tc>
          <w:tcPr>
            <w:tcW w:w="2263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4"/>
                <w:szCs w:val="24"/>
                <w:lang w:val="el-GR" w:eastAsia="en-US" w:bidi="ar-SA"/>
              </w:rPr>
              <w:t>ΣΕΤΕ/ΙΝΣΕΤΕ</w:t>
            </w:r>
          </w:p>
        </w:tc>
        <w:tc>
          <w:tcPr>
            <w:tcW w:w="6378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kern w:val="0"/>
                <w:sz w:val="24"/>
                <w:szCs w:val="24"/>
                <w:lang w:val="el-GR" w:eastAsia="en-US" w:bidi="ar-SA"/>
              </w:rPr>
              <w:t>+3%-4%</w:t>
            </w:r>
          </w:p>
        </w:tc>
      </w:tr>
      <w:tr>
        <w:trPr/>
        <w:tc>
          <w:tcPr>
            <w:tcW w:w="2263" w:type="dxa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4"/>
                <w:szCs w:val="24"/>
                <w:lang w:val="el-GR" w:eastAsia="en-US" w:bidi="ar-SA"/>
              </w:rPr>
              <w:t>ΣΒΕ</w:t>
            </w:r>
          </w:p>
        </w:tc>
        <w:tc>
          <w:tcPr>
            <w:tcW w:w="6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kern w:val="0"/>
                <w:sz w:val="24"/>
                <w:szCs w:val="24"/>
                <w:lang w:val="el-GR" w:eastAsia="en-US" w:bidi="ar-SA"/>
              </w:rPr>
              <w:t>+ 3% - 5%</w:t>
            </w:r>
          </w:p>
        </w:tc>
      </w:tr>
      <w:tr>
        <w:trPr>
          <w:cnfStyle w:val="000000100000"/>
        </w:trPr>
        <w:tc>
          <w:tcPr>
            <w:tcW w:w="2263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4"/>
                <w:szCs w:val="24"/>
                <w:lang w:val="el-GR" w:eastAsia="en-US" w:bidi="ar-SA"/>
              </w:rPr>
              <w:t xml:space="preserve">ΙΟΒΕ </w:t>
            </w:r>
          </w:p>
        </w:tc>
        <w:tc>
          <w:tcPr>
            <w:tcW w:w="6378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kern w:val="0"/>
                <w:sz w:val="24"/>
                <w:szCs w:val="24"/>
                <w:lang w:val="el-GR" w:eastAsia="en-US" w:bidi="ar-SA"/>
              </w:rPr>
              <w:t>Ήπια αύξηση</w:t>
            </w:r>
          </w:p>
        </w:tc>
      </w:tr>
      <w:tr>
        <w:trPr/>
        <w:tc>
          <w:tcPr>
            <w:tcW w:w="2263" w:type="dxa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4"/>
                <w:szCs w:val="24"/>
                <w:lang w:val="el-GR" w:eastAsia="en-US" w:bidi="ar-SA"/>
              </w:rPr>
              <w:t>ΚΕΠΕ</w:t>
            </w:r>
          </w:p>
        </w:tc>
        <w:tc>
          <w:tcPr>
            <w:tcW w:w="6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kern w:val="0"/>
                <w:sz w:val="24"/>
                <w:szCs w:val="24"/>
                <w:lang w:val="el-GR" w:eastAsia="en-US" w:bidi="ar-SA"/>
              </w:rPr>
              <w:t>3%-6%</w:t>
            </w:r>
          </w:p>
        </w:tc>
      </w:tr>
      <w:tr>
        <w:trPr>
          <w:cnfStyle w:val="000000100000"/>
        </w:trPr>
        <w:tc>
          <w:tcPr>
            <w:tcW w:w="2263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4"/>
                <w:szCs w:val="24"/>
                <w:lang w:val="el-GR" w:eastAsia="en-US" w:bidi="ar-SA"/>
              </w:rPr>
              <w:t xml:space="preserve">Επιτροπή εμπ/νων </w:t>
            </w:r>
          </w:p>
        </w:tc>
        <w:tc>
          <w:tcPr>
            <w:tcW w:w="6378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kern w:val="0"/>
                <w:sz w:val="24"/>
                <w:szCs w:val="24"/>
                <w:lang w:val="el-GR" w:eastAsia="en-US" w:bidi="ar-SA"/>
              </w:rPr>
              <w:t>2,6% - 4,2%.</w:t>
            </w:r>
          </w:p>
        </w:tc>
      </w:tr>
      <w:tr>
        <w:trPr/>
        <w:tc>
          <w:tcPr>
            <w:tcW w:w="2263" w:type="dxa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4"/>
                <w:szCs w:val="24"/>
                <w:lang w:val="el-GR" w:eastAsia="en-US" w:bidi="ar-SA"/>
              </w:rPr>
              <w:t xml:space="preserve">ΕΙΕΑΔ </w:t>
            </w:r>
          </w:p>
        </w:tc>
        <w:tc>
          <w:tcPr>
            <w:tcW w:w="6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kern w:val="0"/>
                <w:sz w:val="24"/>
                <w:szCs w:val="24"/>
                <w:lang w:val="el-GR" w:eastAsia="en-US" w:bidi="ar-SA"/>
              </w:rPr>
              <w:t>7%</w:t>
            </w:r>
          </w:p>
        </w:tc>
      </w:tr>
      <w:tr>
        <w:trPr>
          <w:cnfStyle w:val="000000100000"/>
        </w:trPr>
        <w:tc>
          <w:tcPr>
            <w:tcW w:w="2263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4"/>
                <w:szCs w:val="24"/>
                <w:lang w:val="el-GR" w:eastAsia="en-US" w:bidi="ar-SA"/>
              </w:rPr>
              <w:t>ΙΜΕ-ΓΣΕΒΕΕ</w:t>
            </w:r>
          </w:p>
        </w:tc>
        <w:tc>
          <w:tcPr>
            <w:tcW w:w="6378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eastAsia="Calibri" w:cs="" w:ascii="Century Gothic" w:hAnsi="Century Gothic"/>
                <w:kern w:val="0"/>
                <w:sz w:val="24"/>
                <w:szCs w:val="24"/>
                <w:lang w:val="el-GR" w:eastAsia="en-US" w:bidi="ar-SA"/>
              </w:rPr>
              <w:t>Στα επίπεδα του πληθωρισμού</w:t>
            </w:r>
          </w:p>
        </w:tc>
      </w:tr>
      <w:tr>
        <w:trPr/>
        <w:tc>
          <w:tcPr>
            <w:tcW w:w="2263" w:type="dxa"/>
            <w:cnfStyle w:val="0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4"/>
                <w:szCs w:val="24"/>
                <w:lang w:val="el-GR" w:eastAsia="en-US" w:bidi="ar-SA"/>
              </w:rPr>
              <w:t>ΙΝΕΜΥ -ΕΣΕΕ</w:t>
            </w:r>
          </w:p>
        </w:tc>
        <w:tc>
          <w:tcPr>
            <w:tcW w:w="6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kern w:val="0"/>
                <w:sz w:val="24"/>
                <w:szCs w:val="24"/>
                <w:lang w:val="el-GR" w:eastAsia="en-US" w:bidi="ar-SA"/>
              </w:rPr>
              <w:t>Στα επίπεδα του πληθωρισμού</w:t>
            </w:r>
          </w:p>
        </w:tc>
      </w:tr>
      <w:tr>
        <w:trPr>
          <w:trHeight w:val="60" w:hRule="atLeast"/>
          <w:cnfStyle w:val="000000100000"/>
        </w:trPr>
        <w:tc>
          <w:tcPr>
            <w:tcW w:w="2263" w:type="dxa"/>
            <w:cnfStyle w:val="001000000000"/>
            <w:tcBorders/>
            <w:shd w:color="auto" w:fill="D9E2F3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b/>
                <w:bCs/>
                <w:kern w:val="0"/>
                <w:sz w:val="24"/>
                <w:szCs w:val="24"/>
                <w:lang w:val="el-GR" w:eastAsia="en-US" w:bidi="ar-SA"/>
              </w:rPr>
              <w:t>ΙΝΕ-ΓΣΕΕ</w:t>
            </w:r>
          </w:p>
        </w:tc>
        <w:tc>
          <w:tcPr>
            <w:tcW w:w="6378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eastAsia="Calibri" w:cs="" w:ascii="Century Gothic" w:hAnsi="Century Gothic"/>
                <w:kern w:val="0"/>
                <w:sz w:val="24"/>
                <w:szCs w:val="24"/>
                <w:lang w:val="el-GR" w:eastAsia="en-US" w:bidi="ar-SA"/>
              </w:rPr>
              <w:t>+ 13,3%</w:t>
            </w:r>
          </w:p>
        </w:tc>
      </w:tr>
    </w:tbl>
    <w:p>
      <w:pPr>
        <w:pStyle w:val="Normal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left="284" w:hanging="284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0" w:after="160"/>
        <w:rPr>
          <w:rFonts w:cs="Calibri" w:cstheme="minorHAnsi"/>
          <w:b/>
          <w:b/>
          <w:sz w:val="24"/>
          <w:szCs w:val="24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800" w:right="1800" w:gutter="0" w:header="708" w:top="1440" w:footer="708" w:bottom="144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Courier New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entury Gothic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1258011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98520420"/>
    </w:sdtPr>
    <w:sdtContent>
      <w:p>
        <w:pPr>
          <w:pStyle w:val="Style22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tabs>
        <w:tab w:val="clear" w:pos="8306"/>
        <w:tab w:val="center" w:pos="4153" w:leader="none"/>
      </w:tabs>
      <w:ind w:left="-15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tabs>
        <w:tab w:val="clear" w:pos="8306"/>
        <w:tab w:val="center" w:pos="4153" w:leader="none"/>
      </w:tabs>
      <w:ind w:left="-1800" w:right="-1759" w:firstLine="1658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posOffset>6985</wp:posOffset>
          </wp:positionH>
          <wp:positionV relativeFrom="page">
            <wp:posOffset>7620</wp:posOffset>
          </wp:positionV>
          <wp:extent cx="7553960" cy="1569720"/>
          <wp:effectExtent l="0" t="0" r="0" b="0"/>
          <wp:wrapSquare wrapText="bothSides"/>
          <wp:docPr id="2" name="Εικόνα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680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uiPriority w:val="99"/>
    <w:qFormat/>
    <w:rsid w:val="00903640"/>
    <w:rPr/>
  </w:style>
  <w:style w:type="character" w:styleId="Char1" w:customStyle="1">
    <w:name w:val="Υποσέλιδο Char"/>
    <w:basedOn w:val="DefaultParagraphFont"/>
    <w:link w:val="a4"/>
    <w:uiPriority w:val="99"/>
    <w:qFormat/>
    <w:rsid w:val="00903640"/>
    <w:rPr/>
  </w:style>
  <w:style w:type="character" w:styleId="Strong">
    <w:name w:val="Strong"/>
    <w:basedOn w:val="DefaultParagraphFont"/>
    <w:uiPriority w:val="22"/>
    <w:qFormat/>
    <w:rsid w:val="00c33c67"/>
    <w:rPr>
      <w:b/>
      <w:bCs/>
    </w:rPr>
  </w:style>
  <w:style w:type="character" w:styleId="Style14">
    <w:name w:val="Σύνδεσμος διαδικτύου"/>
    <w:basedOn w:val="DefaultParagraphFont"/>
    <w:uiPriority w:val="99"/>
    <w:semiHidden/>
    <w:unhideWhenUsed/>
    <w:rsid w:val="00c33c67"/>
    <w:rPr>
      <w:color w:val="0000FF"/>
      <w:u w:val="single"/>
    </w:rPr>
  </w:style>
  <w:style w:type="character" w:styleId="HTMLChar" w:customStyle="1">
    <w:name w:val="Προ-διαμορφωμένο HTML Char"/>
    <w:basedOn w:val="DefaultParagraphFont"/>
    <w:link w:val="-HTML"/>
    <w:uiPriority w:val="99"/>
    <w:qFormat/>
    <w:rsid w:val="00c33c67"/>
    <w:rPr>
      <w:rFonts w:ascii="Courier New" w:hAnsi="Courier New" w:eastAsia="Times New Roman" w:cs="Courier New"/>
      <w:sz w:val="20"/>
      <w:szCs w:val="20"/>
      <w:lang w:eastAsia="el-GR"/>
    </w:rPr>
  </w:style>
  <w:style w:type="character" w:styleId="Char2" w:customStyle="1">
    <w:name w:val="Κείμενο πλαισίου Char"/>
    <w:basedOn w:val="DefaultParagraphFont"/>
    <w:link w:val="a7"/>
    <w:uiPriority w:val="99"/>
    <w:semiHidden/>
    <w:qFormat/>
    <w:rsid w:val="00ff111a"/>
    <w:rPr>
      <w:rFonts w:ascii="Tahoma" w:hAnsi="Tahoma" w:cs="Tahoma"/>
      <w:sz w:val="16"/>
      <w:szCs w:val="16"/>
    </w:rPr>
  </w:style>
  <w:style w:type="character" w:styleId="Markedcontent" w:customStyle="1">
    <w:name w:val="markedcontent"/>
    <w:basedOn w:val="DefaultParagraphFont"/>
    <w:qFormat/>
    <w:rsid w:val="00c90f74"/>
    <w:rPr/>
  </w:style>
  <w:style w:type="character" w:styleId="Char3" w:customStyle="1">
    <w:name w:val="Έντονο εισαγωγικό Char"/>
    <w:basedOn w:val="DefaultParagraphFont"/>
    <w:link w:val="aa"/>
    <w:uiPriority w:val="30"/>
    <w:qFormat/>
    <w:rsid w:val="00c91b37"/>
    <w:rPr>
      <w:i/>
      <w:iCs/>
      <w:color w:val="4472C4" w:themeColor="accent1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0">
    <w:name w:val="Κεφαλίδα και υποσέλιδο"/>
    <w:basedOn w:val="Normal"/>
    <w:qFormat/>
    <w:pPr/>
    <w:rPr/>
  </w:style>
  <w:style w:type="paragraph" w:styleId="Style21">
    <w:name w:val="Header"/>
    <w:basedOn w:val="Normal"/>
    <w:link w:val="Char"/>
    <w:uiPriority w:val="99"/>
    <w:unhideWhenUsed/>
    <w:rsid w:val="0090364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Char0"/>
    <w:uiPriority w:val="99"/>
    <w:unhideWhenUsed/>
    <w:rsid w:val="0090364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f6bcc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c33c6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HTMLPreformatted">
    <w:name w:val="HTML Preformatted"/>
    <w:basedOn w:val="Normal"/>
    <w:link w:val="-HTMLChar"/>
    <w:uiPriority w:val="99"/>
    <w:unhideWhenUsed/>
    <w:qFormat/>
    <w:rsid w:val="00c33c67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el-GR"/>
    </w:rPr>
  </w:style>
  <w:style w:type="paragraph" w:styleId="Xmsonormal" w:customStyle="1">
    <w:name w:val="x_msonormal"/>
    <w:basedOn w:val="Normal"/>
    <w:qFormat/>
    <w:rsid w:val="00c33c6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1" w:customStyle="1">
    <w:name w:val="Βασικό1"/>
    <w:qFormat/>
    <w:rsid w:val="0082607f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el-GR" w:val="el-GR" w:bidi="ar-SA"/>
    </w:rPr>
  </w:style>
  <w:style w:type="paragraph" w:styleId="2" w:customStyle="1">
    <w:name w:val="Βασικό2"/>
    <w:qFormat/>
    <w:rsid w:val="0082607f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el-GR" w:val="el-GR" w:bidi="ar-SA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f111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350bf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c91b3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6f59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a1"/>
    <w:uiPriority w:val="49"/>
    <w:rsid w:val="007a0651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EEBB-DC2E-4B5E-8B8C-8AFD6FB0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LibreOffice/7.2.5.2$Windows_X86_64 LibreOffice_project/499f9727c189e6ef3471021d6132d4c694f357e5</Application>
  <AppVersion>15.0000</AppVersion>
  <Pages>3</Pages>
  <Words>223</Words>
  <Characters>1164</Characters>
  <CharactersWithSpaces>1281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2022-04-20T16:15:00Z</dcterms:created>
  <dc:creator>Βασίλης</dc:creator>
  <dc:description/>
  <dc:language>el-GR</dc:language>
  <cp:lastModifiedBy/>
  <cp:lastPrinted>2022-04-06T08:16:00Z</cp:lastPrinted>
  <dcterms:modified xsi:type="dcterms:W3CDTF">2022-04-20T19:36:12Z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