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CCD" w14:textId="77777777" w:rsidR="007D2ACB" w:rsidRDefault="007D2ACB" w:rsidP="009908E6">
      <w:pPr>
        <w:jc w:val="center"/>
        <w:rPr>
          <w:rFonts w:ascii="Times New Roman" w:hAnsi="Times New Roman" w:cs="Times New Roman"/>
          <w:b/>
          <w:bCs/>
          <w:sz w:val="24"/>
          <w:szCs w:val="24"/>
        </w:rPr>
      </w:pPr>
    </w:p>
    <w:tbl>
      <w:tblPr>
        <w:tblW w:w="10688" w:type="dxa"/>
        <w:tblInd w:w="55" w:type="dxa"/>
        <w:tblLayout w:type="fixed"/>
        <w:tblCellMar>
          <w:top w:w="55" w:type="dxa"/>
          <w:left w:w="55" w:type="dxa"/>
          <w:bottom w:w="55" w:type="dxa"/>
          <w:right w:w="55" w:type="dxa"/>
        </w:tblCellMar>
        <w:tblLook w:val="0000" w:firstRow="0" w:lastRow="0" w:firstColumn="0" w:lastColumn="0" w:noHBand="0" w:noVBand="0"/>
      </w:tblPr>
      <w:tblGrid>
        <w:gridCol w:w="4491"/>
        <w:gridCol w:w="6197"/>
      </w:tblGrid>
      <w:tr w:rsidR="001455E5" w:rsidRPr="001455E5" w14:paraId="07CEB0F8" w14:textId="77777777" w:rsidTr="00C9671F">
        <w:trPr>
          <w:trHeight w:hRule="exact" w:val="5149"/>
        </w:trPr>
        <w:tc>
          <w:tcPr>
            <w:tcW w:w="4491" w:type="dxa"/>
          </w:tcPr>
          <w:p w14:paraId="03E2DE22" w14:textId="77777777" w:rsidR="001455E5" w:rsidRPr="001455E5" w:rsidRDefault="001455E5" w:rsidP="001455E5">
            <w:pPr>
              <w:spacing w:line="278" w:lineRule="auto"/>
              <w:rPr>
                <w:rFonts w:ascii="Arial" w:hAnsi="Arial" w:cs="Arial"/>
                <w:b/>
                <w:sz w:val="20"/>
                <w:szCs w:val="20"/>
                <w:lang w:val="en-US"/>
              </w:rPr>
            </w:pPr>
            <w:r w:rsidRPr="001455E5">
              <w:rPr>
                <w:rFonts w:ascii="Arial" w:hAnsi="Arial" w:cs="Arial"/>
                <w:b/>
                <w:noProof/>
                <w:sz w:val="20"/>
                <w:szCs w:val="20"/>
                <w:lang w:val="en-US"/>
              </w:rPr>
              <w:drawing>
                <wp:inline distT="0" distB="0" distL="0" distR="0" wp14:anchorId="1F67D67D" wp14:editId="6D9C3C52">
                  <wp:extent cx="1114425" cy="1590675"/>
                  <wp:effectExtent l="0" t="0" r="9525" b="9525"/>
                  <wp:docPr id="6420164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4425" cy="1590675"/>
                          </a:xfrm>
                          <a:prstGeom prst="rect">
                            <a:avLst/>
                          </a:prstGeom>
                          <a:noFill/>
                          <a:ln>
                            <a:noFill/>
                          </a:ln>
                        </pic:spPr>
                      </pic:pic>
                    </a:graphicData>
                  </a:graphic>
                </wp:inline>
              </w:drawing>
            </w:r>
          </w:p>
          <w:p w14:paraId="31707859" w14:textId="77777777" w:rsidR="001455E5" w:rsidRPr="001455E5" w:rsidRDefault="001455E5" w:rsidP="001455E5">
            <w:pPr>
              <w:shd w:val="clear" w:color="auto" w:fill="FFFFFF"/>
              <w:spacing w:line="278" w:lineRule="auto"/>
              <w:rPr>
                <w:rFonts w:ascii="Arial" w:hAnsi="Arial" w:cs="Arial"/>
                <w:color w:val="1D2228"/>
                <w:sz w:val="20"/>
                <w:szCs w:val="20"/>
                <w:lang w:val="en-US" w:eastAsia="el-GR"/>
              </w:rPr>
            </w:pPr>
            <w:proofErr w:type="gramStart"/>
            <w:r w:rsidRPr="001455E5">
              <w:rPr>
                <w:rFonts w:ascii="Arial" w:hAnsi="Arial" w:cs="Arial"/>
                <w:color w:val="828C93"/>
                <w:sz w:val="20"/>
                <w:szCs w:val="20"/>
                <w:lang w:val="en-US" w:eastAsia="el-GR"/>
              </w:rPr>
              <w:t>e-mail :</w:t>
            </w:r>
            <w:proofErr w:type="gramEnd"/>
            <w:r w:rsidRPr="001455E5">
              <w:rPr>
                <w:rFonts w:ascii="Arial" w:hAnsi="Arial" w:cs="Arial"/>
                <w:color w:val="828C93"/>
                <w:sz w:val="20"/>
                <w:szCs w:val="20"/>
                <w:lang w:val="en-US" w:eastAsia="el-GR"/>
              </w:rPr>
              <w:t xml:space="preserve"> seismopliktoi.minoa@gmail.com</w:t>
            </w:r>
          </w:p>
        </w:tc>
        <w:tc>
          <w:tcPr>
            <w:tcW w:w="6197" w:type="dxa"/>
          </w:tcPr>
          <w:p w14:paraId="42C5B870" w14:textId="77777777" w:rsidR="001455E5" w:rsidRPr="001455E5" w:rsidRDefault="001455E5" w:rsidP="001455E5">
            <w:pPr>
              <w:snapToGrid w:val="0"/>
              <w:spacing w:line="278" w:lineRule="auto"/>
              <w:jc w:val="both"/>
              <w:rPr>
                <w:rFonts w:ascii="Arial" w:hAnsi="Arial" w:cs="Arial"/>
                <w:b/>
                <w:iCs/>
                <w:sz w:val="24"/>
                <w:szCs w:val="24"/>
                <w:lang w:val="en-US"/>
              </w:rPr>
            </w:pPr>
          </w:p>
          <w:p w14:paraId="36416CD1" w14:textId="77777777" w:rsidR="001455E5" w:rsidRPr="001455E5" w:rsidRDefault="001455E5" w:rsidP="001455E5">
            <w:pPr>
              <w:snapToGrid w:val="0"/>
              <w:spacing w:line="278" w:lineRule="auto"/>
              <w:jc w:val="both"/>
              <w:rPr>
                <w:rFonts w:ascii="Arial" w:hAnsi="Arial" w:cs="Arial"/>
                <w:b/>
                <w:iCs/>
                <w:sz w:val="24"/>
                <w:szCs w:val="24"/>
                <w:lang w:val="en-US"/>
              </w:rPr>
            </w:pPr>
          </w:p>
          <w:p w14:paraId="06F85663" w14:textId="77777777" w:rsidR="001455E5" w:rsidRPr="001455E5" w:rsidRDefault="001455E5" w:rsidP="001455E5">
            <w:pPr>
              <w:snapToGrid w:val="0"/>
              <w:spacing w:line="278" w:lineRule="auto"/>
              <w:jc w:val="both"/>
              <w:rPr>
                <w:rFonts w:ascii="Arial" w:hAnsi="Arial" w:cs="Arial"/>
                <w:b/>
                <w:iCs/>
                <w:sz w:val="24"/>
                <w:szCs w:val="24"/>
                <w:lang w:val="en-US"/>
              </w:rPr>
            </w:pPr>
          </w:p>
          <w:p w14:paraId="0016B9E2" w14:textId="77777777" w:rsidR="001455E5" w:rsidRPr="001455E5" w:rsidRDefault="001455E5" w:rsidP="001455E5">
            <w:pPr>
              <w:snapToGrid w:val="0"/>
              <w:spacing w:line="278" w:lineRule="auto"/>
              <w:jc w:val="both"/>
              <w:rPr>
                <w:rFonts w:ascii="Arial" w:hAnsi="Arial" w:cs="Arial"/>
                <w:b/>
                <w:iCs/>
                <w:sz w:val="24"/>
                <w:szCs w:val="24"/>
                <w:lang w:val="en-US"/>
              </w:rPr>
            </w:pPr>
          </w:p>
          <w:p w14:paraId="02E5C322" w14:textId="5A6776B3" w:rsidR="001455E5" w:rsidRDefault="001455E5" w:rsidP="001455E5">
            <w:pPr>
              <w:snapToGrid w:val="0"/>
              <w:spacing w:line="278" w:lineRule="auto"/>
              <w:jc w:val="both"/>
              <w:rPr>
                <w:bCs/>
                <w:iCs/>
                <w:sz w:val="24"/>
                <w:szCs w:val="24"/>
              </w:rPr>
            </w:pPr>
            <w:proofErr w:type="spellStart"/>
            <w:r w:rsidRPr="001455E5">
              <w:rPr>
                <w:bCs/>
                <w:iCs/>
                <w:sz w:val="24"/>
                <w:szCs w:val="24"/>
              </w:rPr>
              <w:t>Αρκαλοχώρι</w:t>
            </w:r>
            <w:proofErr w:type="spellEnd"/>
            <w:r w:rsidRPr="001455E5">
              <w:rPr>
                <w:bCs/>
                <w:iCs/>
                <w:sz w:val="24"/>
                <w:szCs w:val="24"/>
              </w:rPr>
              <w:t xml:space="preserve"> </w:t>
            </w:r>
            <w:r w:rsidR="00D662CB">
              <w:rPr>
                <w:bCs/>
                <w:iCs/>
                <w:sz w:val="24"/>
                <w:szCs w:val="24"/>
              </w:rPr>
              <w:t xml:space="preserve">  </w:t>
            </w:r>
            <w:r w:rsidR="00184778">
              <w:rPr>
                <w:bCs/>
                <w:iCs/>
                <w:sz w:val="24"/>
                <w:szCs w:val="24"/>
              </w:rPr>
              <w:t>01</w:t>
            </w:r>
            <w:r w:rsidRPr="001455E5">
              <w:rPr>
                <w:bCs/>
                <w:iCs/>
                <w:sz w:val="24"/>
                <w:szCs w:val="24"/>
              </w:rPr>
              <w:t xml:space="preserve">/ </w:t>
            </w:r>
            <w:r w:rsidR="00D662CB">
              <w:rPr>
                <w:bCs/>
                <w:iCs/>
                <w:sz w:val="24"/>
                <w:szCs w:val="24"/>
              </w:rPr>
              <w:t>0</w:t>
            </w:r>
            <w:r w:rsidR="00184778">
              <w:rPr>
                <w:bCs/>
                <w:iCs/>
                <w:sz w:val="24"/>
                <w:szCs w:val="24"/>
              </w:rPr>
              <w:t>5</w:t>
            </w:r>
            <w:r w:rsidRPr="001455E5">
              <w:rPr>
                <w:bCs/>
                <w:iCs/>
                <w:sz w:val="24"/>
                <w:szCs w:val="24"/>
              </w:rPr>
              <w:t xml:space="preserve"> /202</w:t>
            </w:r>
            <w:r w:rsidR="00D662CB">
              <w:rPr>
                <w:bCs/>
                <w:iCs/>
                <w:sz w:val="24"/>
                <w:szCs w:val="24"/>
              </w:rPr>
              <w:t>6</w:t>
            </w:r>
          </w:p>
          <w:p w14:paraId="713F62F9" w14:textId="31FE59C9" w:rsidR="00C9671F" w:rsidRDefault="00C9671F" w:rsidP="001918CB">
            <w:pPr>
              <w:snapToGrid w:val="0"/>
              <w:spacing w:line="278" w:lineRule="auto"/>
              <w:jc w:val="both"/>
              <w:rPr>
                <w:bCs/>
                <w:iCs/>
                <w:sz w:val="24"/>
                <w:szCs w:val="24"/>
              </w:rPr>
            </w:pPr>
            <w:proofErr w:type="spellStart"/>
            <w:r>
              <w:rPr>
                <w:bCs/>
                <w:iCs/>
                <w:sz w:val="24"/>
                <w:szCs w:val="24"/>
              </w:rPr>
              <w:t>Αρ.Πρ</w:t>
            </w:r>
            <w:proofErr w:type="spellEnd"/>
            <w:r>
              <w:rPr>
                <w:bCs/>
                <w:iCs/>
                <w:sz w:val="24"/>
                <w:szCs w:val="24"/>
              </w:rPr>
              <w:t>: 12</w:t>
            </w:r>
            <w:r w:rsidR="00184778">
              <w:rPr>
                <w:bCs/>
                <w:iCs/>
                <w:sz w:val="24"/>
                <w:szCs w:val="24"/>
              </w:rPr>
              <w:t>9</w:t>
            </w:r>
          </w:p>
          <w:p w14:paraId="4810B69F" w14:textId="2D91AA00" w:rsidR="001B3421" w:rsidRPr="00994342" w:rsidRDefault="001B3421" w:rsidP="00994342">
            <w:pPr>
              <w:pStyle w:val="a6"/>
              <w:numPr>
                <w:ilvl w:val="0"/>
                <w:numId w:val="15"/>
              </w:numPr>
              <w:snapToGrid w:val="0"/>
              <w:rPr>
                <w:lang w:val="el-GR"/>
              </w:rPr>
            </w:pPr>
            <w:r w:rsidRPr="00994342">
              <w:rPr>
                <w:lang w:val="el-GR"/>
              </w:rPr>
              <w:t>Υφυπουργό Κλιματικής Κρίσης &amp; Πολιτικής Προστασίας κ. Κ. Κατσαφάδο</w:t>
            </w:r>
          </w:p>
          <w:p w14:paraId="73FFAEEB" w14:textId="1C87D019" w:rsidR="00994342" w:rsidRPr="00994342" w:rsidRDefault="00994342" w:rsidP="00994342">
            <w:pPr>
              <w:pStyle w:val="a6"/>
              <w:numPr>
                <w:ilvl w:val="0"/>
                <w:numId w:val="15"/>
              </w:numPr>
              <w:snapToGrid w:val="0"/>
              <w:rPr>
                <w:lang w:val="el-GR"/>
              </w:rPr>
            </w:pPr>
            <w:r>
              <w:rPr>
                <w:lang w:val="el-GR"/>
              </w:rPr>
              <w:t>Κ.Π. Καμπούρη,  Γ.Γ. Αποκατάστασης Φυσικών Καταστροφών &amp; Κρατικής Αρωγής</w:t>
            </w:r>
          </w:p>
          <w:p w14:paraId="5AF61508" w14:textId="0448B2CA" w:rsidR="00994342" w:rsidRPr="00994342" w:rsidRDefault="00994342" w:rsidP="00994342">
            <w:pPr>
              <w:pStyle w:val="a6"/>
              <w:numPr>
                <w:ilvl w:val="0"/>
                <w:numId w:val="15"/>
              </w:numPr>
              <w:snapToGrid w:val="0"/>
              <w:rPr>
                <w:lang w:val="el-GR"/>
              </w:rPr>
            </w:pPr>
            <w:r>
              <w:t xml:space="preserve">ΤΑΕΦΚ </w:t>
            </w:r>
            <w:proofErr w:type="spellStart"/>
            <w:r>
              <w:t>Ηρ</w:t>
            </w:r>
            <w:proofErr w:type="spellEnd"/>
            <w:r>
              <w:t>ακλείου</w:t>
            </w:r>
          </w:p>
          <w:p w14:paraId="3A45FBCD" w14:textId="3EE2FD76" w:rsidR="001B3421" w:rsidRDefault="00994342" w:rsidP="001B3421">
            <w:pPr>
              <w:snapToGrid w:val="0"/>
            </w:pPr>
            <w:r>
              <w:t xml:space="preserve">       </w:t>
            </w:r>
            <w:r w:rsidR="001B3421">
              <w:t>Πίνακας αποδεκτών</w:t>
            </w:r>
          </w:p>
          <w:p w14:paraId="36EC6D5B" w14:textId="77777777" w:rsidR="00994342" w:rsidRDefault="00994342" w:rsidP="001B3421">
            <w:pPr>
              <w:snapToGrid w:val="0"/>
            </w:pPr>
          </w:p>
          <w:p w14:paraId="27B63290" w14:textId="77777777" w:rsidR="001B3421" w:rsidRPr="001918CB" w:rsidRDefault="001B3421" w:rsidP="001918CB">
            <w:pPr>
              <w:snapToGrid w:val="0"/>
              <w:spacing w:line="278" w:lineRule="auto"/>
              <w:jc w:val="both"/>
              <w:rPr>
                <w:bCs/>
                <w:iCs/>
                <w:sz w:val="24"/>
                <w:szCs w:val="24"/>
              </w:rPr>
            </w:pPr>
          </w:p>
          <w:p w14:paraId="437BB363" w14:textId="77777777" w:rsidR="001455E5" w:rsidRPr="001455E5" w:rsidRDefault="001455E5" w:rsidP="001455E5">
            <w:pPr>
              <w:snapToGrid w:val="0"/>
              <w:spacing w:line="278" w:lineRule="auto"/>
              <w:jc w:val="both"/>
              <w:rPr>
                <w:bCs/>
                <w:iCs/>
                <w:sz w:val="24"/>
                <w:szCs w:val="24"/>
              </w:rPr>
            </w:pPr>
          </w:p>
          <w:p w14:paraId="0C359FCD" w14:textId="77777777" w:rsidR="001455E5" w:rsidRPr="001455E5" w:rsidRDefault="001455E5" w:rsidP="001455E5">
            <w:pPr>
              <w:snapToGrid w:val="0"/>
              <w:spacing w:line="278" w:lineRule="auto"/>
              <w:rPr>
                <w:sz w:val="24"/>
                <w:szCs w:val="24"/>
              </w:rPr>
            </w:pPr>
          </w:p>
          <w:p w14:paraId="0040328D" w14:textId="77777777" w:rsidR="001455E5" w:rsidRPr="001455E5" w:rsidRDefault="001455E5" w:rsidP="001455E5">
            <w:pPr>
              <w:tabs>
                <w:tab w:val="left" w:pos="366"/>
              </w:tabs>
              <w:snapToGrid w:val="0"/>
              <w:spacing w:line="278" w:lineRule="auto"/>
              <w:rPr>
                <w:bCs/>
                <w:sz w:val="24"/>
                <w:szCs w:val="24"/>
              </w:rPr>
            </w:pPr>
          </w:p>
          <w:p w14:paraId="39DFEBBE" w14:textId="77777777" w:rsidR="001455E5" w:rsidRPr="001455E5" w:rsidRDefault="001455E5" w:rsidP="001455E5">
            <w:pPr>
              <w:spacing w:line="278" w:lineRule="auto"/>
              <w:rPr>
                <w:sz w:val="24"/>
                <w:szCs w:val="24"/>
              </w:rPr>
            </w:pPr>
          </w:p>
          <w:p w14:paraId="5E63AB6B" w14:textId="77777777" w:rsidR="001455E5" w:rsidRPr="001455E5" w:rsidRDefault="001455E5" w:rsidP="001455E5">
            <w:pPr>
              <w:spacing w:line="278" w:lineRule="auto"/>
              <w:rPr>
                <w:sz w:val="24"/>
                <w:szCs w:val="24"/>
              </w:rPr>
            </w:pPr>
          </w:p>
          <w:p w14:paraId="30B41677" w14:textId="77777777" w:rsidR="001455E5" w:rsidRPr="001455E5" w:rsidRDefault="001455E5" w:rsidP="001455E5">
            <w:pPr>
              <w:tabs>
                <w:tab w:val="left" w:pos="366"/>
              </w:tabs>
              <w:snapToGrid w:val="0"/>
              <w:spacing w:line="278" w:lineRule="auto"/>
              <w:rPr>
                <w:rFonts w:ascii="Arial" w:hAnsi="Arial" w:cs="Arial"/>
                <w:b/>
                <w:sz w:val="24"/>
                <w:szCs w:val="24"/>
              </w:rPr>
            </w:pPr>
          </w:p>
        </w:tc>
      </w:tr>
    </w:tbl>
    <w:p w14:paraId="603736E6" w14:textId="77777777" w:rsidR="00994342" w:rsidRDefault="00994342" w:rsidP="00184778">
      <w:pPr>
        <w:pBdr>
          <w:top w:val="nil"/>
          <w:left w:val="nil"/>
          <w:bottom w:val="nil"/>
          <w:right w:val="nil"/>
          <w:between w:val="nil"/>
        </w:pBdr>
        <w:spacing w:after="0" w:line="276" w:lineRule="auto"/>
        <w:jc w:val="both"/>
        <w:rPr>
          <w:rFonts w:ascii="Times New Roman" w:eastAsia="Verdana" w:hAnsi="Times New Roman" w:cs="Times New Roman"/>
        </w:rPr>
      </w:pPr>
    </w:p>
    <w:p w14:paraId="5E32EC58" w14:textId="272C0E8E" w:rsidR="003E6A1C" w:rsidRDefault="003E6A1C" w:rsidP="00184778">
      <w:pPr>
        <w:pBdr>
          <w:top w:val="nil"/>
          <w:left w:val="nil"/>
          <w:bottom w:val="nil"/>
          <w:right w:val="nil"/>
          <w:between w:val="nil"/>
        </w:pBdr>
        <w:spacing w:after="0" w:line="276" w:lineRule="auto"/>
        <w:jc w:val="both"/>
        <w:rPr>
          <w:rFonts w:ascii="Times New Roman" w:eastAsia="Verdana" w:hAnsi="Times New Roman" w:cs="Times New Roman"/>
        </w:rPr>
      </w:pPr>
      <w:r w:rsidRPr="000405D9">
        <w:rPr>
          <w:rFonts w:ascii="Times New Roman" w:eastAsia="Verdana" w:hAnsi="Times New Roman" w:cs="Times New Roman"/>
        </w:rPr>
        <w:t>Θ</w:t>
      </w:r>
      <w:r w:rsidR="00390A97" w:rsidRPr="000405D9">
        <w:rPr>
          <w:rFonts w:ascii="Times New Roman" w:eastAsia="Verdana" w:hAnsi="Times New Roman" w:cs="Times New Roman"/>
        </w:rPr>
        <w:t>έμα:</w:t>
      </w:r>
      <w:r w:rsidR="00F45602" w:rsidRPr="000405D9">
        <w:rPr>
          <w:rFonts w:ascii="Times New Roman" w:eastAsia="Verdana" w:hAnsi="Times New Roman" w:cs="Times New Roman"/>
        </w:rPr>
        <w:t xml:space="preserve"> </w:t>
      </w:r>
      <w:r w:rsidR="00184778" w:rsidRPr="00184778">
        <w:rPr>
          <w:rFonts w:ascii="Times New Roman" w:eastAsia="Verdana" w:hAnsi="Times New Roman" w:cs="Times New Roman"/>
        </w:rPr>
        <w:t>Παρατηρήσεις και προτάσεις επί της Υ.Α. 30438/ΔΑΕΦΚ-ΚΕ/Α321/24-04-2026 και των συναφών διευκρινιστικών εγκυκλίων</w:t>
      </w:r>
    </w:p>
    <w:p w14:paraId="78F157DA" w14:textId="77777777" w:rsidR="00184778" w:rsidRPr="00184778" w:rsidRDefault="00184778" w:rsidP="00184778">
      <w:pPr>
        <w:pBdr>
          <w:top w:val="nil"/>
          <w:left w:val="nil"/>
          <w:bottom w:val="nil"/>
          <w:right w:val="nil"/>
          <w:between w:val="nil"/>
        </w:pBdr>
        <w:spacing w:after="0" w:line="276" w:lineRule="auto"/>
        <w:jc w:val="both"/>
        <w:rPr>
          <w:rFonts w:ascii="Times New Roman" w:eastAsia="Verdana" w:hAnsi="Times New Roman" w:cs="Times New Roman"/>
        </w:rPr>
      </w:pPr>
    </w:p>
    <w:p w14:paraId="35CAD752" w14:textId="77777777" w:rsidR="001B3421" w:rsidRDefault="001B3421" w:rsidP="00184778">
      <w:pPr>
        <w:pBdr>
          <w:top w:val="nil"/>
          <w:left w:val="nil"/>
          <w:bottom w:val="nil"/>
          <w:right w:val="nil"/>
          <w:between w:val="nil"/>
        </w:pBdr>
        <w:spacing w:after="0" w:line="240" w:lineRule="auto"/>
        <w:jc w:val="both"/>
        <w:rPr>
          <w:rFonts w:ascii="Times New Roman" w:eastAsia="Verdana" w:hAnsi="Times New Roman" w:cs="Times New Roman"/>
        </w:rPr>
      </w:pPr>
      <w:r w:rsidRPr="0094749C">
        <w:rPr>
          <w:rFonts w:ascii="Times New Roman" w:eastAsia="Verdana" w:hAnsi="Times New Roman" w:cs="Times New Roman"/>
        </w:rPr>
        <w:t>Αξιότιμοι κύριοι,</w:t>
      </w:r>
    </w:p>
    <w:p w14:paraId="4909F8E3" w14:textId="77777777" w:rsidR="00184778" w:rsidRPr="00184778" w:rsidRDefault="00184778" w:rsidP="00184778">
      <w:pPr>
        <w:pBdr>
          <w:top w:val="nil"/>
          <w:left w:val="nil"/>
          <w:bottom w:val="nil"/>
          <w:right w:val="nil"/>
          <w:between w:val="nil"/>
        </w:pBdr>
        <w:spacing w:after="0" w:line="240" w:lineRule="auto"/>
        <w:jc w:val="both"/>
        <w:rPr>
          <w:rFonts w:ascii="Times New Roman" w:eastAsia="Verdana" w:hAnsi="Times New Roman" w:cs="Times New Roman"/>
        </w:rPr>
      </w:pPr>
    </w:p>
    <w:p w14:paraId="1E9DF45C"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Η πρόσφατη έκδοση διευκρινιστικών εγκυκλίων επί της Υ.Α. 30438/ΔΑΕΦΚ-ΚΕ/Α321/24-04-2026 επιχειρεί να εξειδικεύσει την εφαρμογή της απλοποιημένης διαδικασίας επισκευής, ιδίως ως προς τον τρόπο υπολογισμού της στεγαστικής συνδρομής, τα απαιτούμενα δικαιολογητικά και τις προϋποθέσεις εκτέλεσης των εργασιών. Ωστόσο, αντί να επιλύονται τα υφιστάμενα ζητήματα, εισάγονται πρόσθετοι όροι και ερμηνείες που δυσχεραίνουν περαιτέρω την εφαρμογή της διαδικασίας.</w:t>
      </w:r>
    </w:p>
    <w:p w14:paraId="15BDC4F6"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 xml:space="preserve">Ο Σύλλογος Σεισμόπληκτων Δήμου </w:t>
      </w:r>
      <w:proofErr w:type="spellStart"/>
      <w:r w:rsidRPr="00184778">
        <w:rPr>
          <w:rFonts w:ascii="Times New Roman" w:eastAsia="Verdana" w:hAnsi="Times New Roman" w:cs="Times New Roman"/>
        </w:rPr>
        <w:t>Μινώα</w:t>
      </w:r>
      <w:proofErr w:type="spellEnd"/>
      <w:r w:rsidRPr="00184778">
        <w:rPr>
          <w:rFonts w:ascii="Times New Roman" w:eastAsia="Verdana" w:hAnsi="Times New Roman" w:cs="Times New Roman"/>
        </w:rPr>
        <w:t xml:space="preserve"> Πεδιάδας «Η Ελπίδα» έχει καταθέσει επανειλημμένα τεκμηριωμένες προτάσεις επί του πλαισίου αποκατάστασης, με σαφήνεια και πρακτική λογική. Παρά ταύτα, διαπιστώνεται ότι το Υπουργείο επανέρχεται με καθυστέρηση, εκδίδοντας διευκρινιστικές εγκυκλίους επί της ίδιας απόφασης, οι οποίες αντί να απλοποιούν τη διαδικασία, την καθιστούν ακόμη πιο σύνθετη και δυσνόητη.</w:t>
      </w:r>
    </w:p>
    <w:p w14:paraId="41CDE6C9"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Τα ζητήματα που ανακύπτουν από την εφαρμογή της ανωτέρω Υπουργικής Απόφασης δεν είναι σύνθετα. Είναι απλά και απαιτούν ξεκάθαρες λύσεις.</w:t>
      </w:r>
    </w:p>
    <w:p w14:paraId="1FC9F1D9"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Καταρχάς, σε ό,τι αφορά το ισχύον τιμολόγιο υπολογισμού της δαπάνης επισκευής, όπως αυτό εφαρμόζεται στο πλαίσιο της Υ.Α. 30438/2026 και των συναφών εγκυκλίων, επισημαίνεται ότι δεν ανταποκρίνεται στις πραγματικές συνθήκες της αγοράς. Οι τιμές είναι εκτός πραγματικότητας και δεν καλύπτουν το κόστος των εργασιών. Απαιτείται άμεση αναπροσαρμογή του βάσει των επίσημων δεικτών της Ελληνικής Στατιστικής Αρχής (ΕΛΣΤΑΤ).</w:t>
      </w:r>
    </w:p>
    <w:p w14:paraId="10E324BD"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Σε ό,τι αφορά τη δομή της στεγαστικής συνδρομής, όπως προβλέπεται στην Υ.Α. 30438/2026 και εξειδικεύεται μέσω των σχετικών εγκυκλίων, το ζήτημα είναι ξεκάθαρο: το άτοκο δάνειο πρέπει να καταργηθεί και η στεγαστική συνδρομή να καλύπτει το 100% της δαπάνης μέσω κρατικής αρωγής.</w:t>
      </w:r>
    </w:p>
    <w:p w14:paraId="615250AB"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 xml:space="preserve">Παράλληλα, δεδομένου ότι η απλοποιημένη διαδικασία που προβλέπεται στην ανωτέρω απόφαση λήγει στις 12 Μαΐου, χωρίς να προκύπτει παράταση από τις σχετικές εγκυκλίους, είναι απαραίτητο να δοθεί </w:t>
      </w:r>
      <w:r w:rsidRPr="00184778">
        <w:rPr>
          <w:rFonts w:ascii="Times New Roman" w:eastAsia="Verdana" w:hAnsi="Times New Roman" w:cs="Times New Roman"/>
        </w:rPr>
        <w:lastRenderedPageBreak/>
        <w:t>άμεσα παράταση της προθεσμίας και να ανοίξει εκ νέου η διαδικασία, ώστε να ενταχθούν και όσοι δεν υπέβαλαν φάκελο στο αρχικό στάδιο.</w:t>
      </w:r>
    </w:p>
    <w:p w14:paraId="0E64E1F0"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Επιπλέον, η σύνδεση της στεγαστικής συνδρομής με το αποδεικνυόμενο κόστος επισκευής, όπως προβλέπεται στην Υ.Α. 30438/2026, με περικοπές και επιστροφές ποσών, δημιουργεί ανασφάλεια και πρακτικά εμπόδια στην υλοποίηση των έργων. Η χρηματοδότηση πρέπει να είναι σαφής και σταθερή, χωρίς τον κίνδυνο αναδρομικών επιβαρύνσεων.</w:t>
      </w:r>
    </w:p>
    <w:p w14:paraId="5B16F9CA"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 xml:space="preserve">Ιδιαίτερα κρίσιμο είναι το ζήτημα που εισάγεται μέσω της ανωτέρω Υπουργικής Απόφασης και των </w:t>
      </w:r>
      <w:proofErr w:type="spellStart"/>
      <w:r w:rsidRPr="00184778">
        <w:rPr>
          <w:rFonts w:ascii="Times New Roman" w:eastAsia="Verdana" w:hAnsi="Times New Roman" w:cs="Times New Roman"/>
        </w:rPr>
        <w:t>εφαρμοστικών</w:t>
      </w:r>
      <w:proofErr w:type="spellEnd"/>
      <w:r w:rsidRPr="00184778">
        <w:rPr>
          <w:rFonts w:ascii="Times New Roman" w:eastAsia="Verdana" w:hAnsi="Times New Roman" w:cs="Times New Roman"/>
        </w:rPr>
        <w:t xml:space="preserve"> οδηγιών σχετικά με την υποχρέωση υποβολής υπεύθυνης δήλωσης παραίτησης ιδιώτη μηχανικού. Η πρόβλεψη αυτή δημιουργεί σοβαρά νομικά και πρακτικά ζητήματα, καθώς δεν λαμβάνει υπόψη υφιστάμενες συμβάσεις και καταβληθείσες αμοιβές. Η διάταξη αυτή απαιτεί άμεση αναδιατύπωση, ώστε να προβλέπεται η δυνατότητα αντικατάστασης μηχανικού χωρίς υποχρέωση παραίτησης, με παράλληλη ρύθμιση των σχετικών συμβατικών εκκρεμοτήτων.</w:t>
      </w:r>
    </w:p>
    <w:p w14:paraId="26B5ECA7"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Επιπλέον, ως προς το ζήτημα των εκ των υστέρων αυτοψιών, όπως αυτό προβλέπεται στις διευκρινιστικές εγκυκλίους της ανωτέρω απόφασης, προβλέπεται η δυνατότητα διενέργειας νέων (δευτερογενών) αυτοψιών σε περιπτώσεις όπου δεν έχει προηγηθεί αρχικός έλεγχος ή δεν έχει υποβληθεί φάκελος, χωρίς όμως να αποσαφηνίζεται ο τρόπος εφαρμογής της διαδικασίας στην πράξη.</w:t>
      </w:r>
    </w:p>
    <w:p w14:paraId="5991F9D2"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 xml:space="preserve">Στο πλαίσιο αυτό τίθενται εύλογα ερωτήματα: ποιος είναι ο αριθμός των ιδιοκτησιών για τις οποίες δεν έχουν διενεργηθεί δεύτερες αυτοψίες, σε ποιες περιοχές εντοπίζεται ο κύριος όγκος αυτών των περιπτώσεων και ποιο είναι το χρονοδιάγραμμα ολοκλήρωσης των αυτοψιών. Περαιτέρω, ποιος είναι ο συνολικός αριθμός των αρχικών αυτοψιών και σε ποιο βαθμό αυτές έχουν </w:t>
      </w:r>
      <w:proofErr w:type="spellStart"/>
      <w:r w:rsidRPr="00184778">
        <w:rPr>
          <w:rFonts w:ascii="Times New Roman" w:eastAsia="Verdana" w:hAnsi="Times New Roman" w:cs="Times New Roman"/>
        </w:rPr>
        <w:t>επικαιροποιηθεί</w:t>
      </w:r>
      <w:proofErr w:type="spellEnd"/>
      <w:r w:rsidRPr="00184778">
        <w:rPr>
          <w:rFonts w:ascii="Times New Roman" w:eastAsia="Verdana" w:hAnsi="Times New Roman" w:cs="Times New Roman"/>
        </w:rPr>
        <w:t>. Επιπλέον, με ποια κριτήρια διενεργούνται οι νέες αυτοψίες και πώς συνδέεται η διαδικασία αυτή με τη δυνατότητα ένταξης στη ρύθμιση, δεδομένου ότι οι προθεσμίες παραμένουν περιορισμένες.</w:t>
      </w:r>
    </w:p>
    <w:p w14:paraId="6D4A9459"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Αντίστοιχα, διατάξεις της Υ.Α. 30438/2026 που περιορίζουν την εκτέλεση εργασιών χωρίς χρήση ικριωμάτων, καθώς και η περιορισμένη διάρκεια ισχύος της άδειας επισκευής, δημιουργούν πρακτικά προβλήματα και χρειάζονται άμεση διόρθωση.</w:t>
      </w:r>
    </w:p>
    <w:p w14:paraId="25A51E66"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Η συνεχής έκδοση διευκρινιστικών εγκυκλίων, σε χρονική απόσταση από την έκδοση της αρχικής απόφασης, αντί να επιλύει προβλήματα, τα πολλαπλασιάζει και περιπλέκει περαιτέρω τη διαδικασία.</w:t>
      </w:r>
    </w:p>
    <w:p w14:paraId="7866748F"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Εφόσον το Υπουργείο επιλέγει να παρέχει διευκρινίσεις εκ των υστέρων, θεωρούμε αυτονόητο ότι αυτές πρέπει να συνοδεύονται από άμεση ενημέρωση στο πεδίο. Κρίνεται απαραίτητη η παρουσία αρμοδίων στην περιοχή, με στόχο την ενημέρωση των μηχανικών και των πολιτών για την ορθή και ενιαία εφαρμογή των ρυθμίσεων.</w:t>
      </w:r>
    </w:p>
    <w:p w14:paraId="4B3FD104" w14:textId="77777777" w:rsidR="00184778" w:rsidRPr="00184778" w:rsidRDefault="00184778" w:rsidP="00184778">
      <w:pPr>
        <w:pBdr>
          <w:top w:val="nil"/>
          <w:left w:val="nil"/>
          <w:bottom w:val="nil"/>
          <w:right w:val="nil"/>
          <w:between w:val="nil"/>
        </w:pBdr>
        <w:spacing w:after="0" w:line="240" w:lineRule="auto"/>
        <w:ind w:firstLine="720"/>
        <w:jc w:val="both"/>
        <w:rPr>
          <w:rFonts w:ascii="Times New Roman" w:eastAsia="Verdana" w:hAnsi="Times New Roman" w:cs="Times New Roman"/>
        </w:rPr>
      </w:pPr>
      <w:r w:rsidRPr="00184778">
        <w:rPr>
          <w:rFonts w:ascii="Times New Roman" w:eastAsia="Verdana" w:hAnsi="Times New Roman" w:cs="Times New Roman"/>
        </w:rPr>
        <w:t>Τα ζητήματα είναι σαφή και οι λύσεις συγκεκριμένες: αναπροσαρμογή τιμολογίου βάσει ΕΛΣΤΑΤ, κατάργηση του δανειακού σκέλους και 100% κρατική αρωγή, παράταση της προθεσμίας και άνοιγμα της διαδικασίας για όλους τους δικαιούχους, απλοποίηση του πλαισίου χωρίς πρόσθετες επιβαρύνσεις.</w:t>
      </w:r>
    </w:p>
    <w:p w14:paraId="6A425BB8" w14:textId="77777777" w:rsidR="00184778" w:rsidRPr="00184778" w:rsidRDefault="00184778" w:rsidP="00184778">
      <w:pPr>
        <w:pBdr>
          <w:top w:val="nil"/>
          <w:left w:val="nil"/>
          <w:bottom w:val="nil"/>
          <w:right w:val="nil"/>
          <w:between w:val="nil"/>
        </w:pBdr>
        <w:spacing w:after="0" w:line="240" w:lineRule="auto"/>
        <w:jc w:val="both"/>
        <w:rPr>
          <w:rFonts w:ascii="Times New Roman" w:eastAsia="Verdana" w:hAnsi="Times New Roman" w:cs="Times New Roman"/>
        </w:rPr>
      </w:pPr>
    </w:p>
    <w:p w14:paraId="3E90A660" w14:textId="79859E81" w:rsidR="00BC427D" w:rsidRPr="00BC427D" w:rsidRDefault="006C103D" w:rsidP="00184778">
      <w:pPr>
        <w:pBdr>
          <w:top w:val="nil"/>
          <w:left w:val="nil"/>
          <w:bottom w:val="nil"/>
          <w:right w:val="nil"/>
          <w:between w:val="nil"/>
        </w:pBdr>
        <w:spacing w:after="0" w:line="240"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ab/>
      </w:r>
      <w:r>
        <w:rPr>
          <w:rFonts w:ascii="Times New Roman" w:eastAsia="Verdana" w:hAnsi="Times New Roman" w:cs="Times New Roman"/>
          <w:sz w:val="24"/>
          <w:szCs w:val="24"/>
        </w:rPr>
        <w:tab/>
      </w:r>
      <w:r w:rsidR="00BC427D">
        <w:rPr>
          <w:rFonts w:ascii="Times New Roman" w:eastAsia="Verdana" w:hAnsi="Times New Roman" w:cs="Times New Roman"/>
          <w:sz w:val="24"/>
          <w:szCs w:val="24"/>
        </w:rPr>
        <w:t xml:space="preserve"> </w:t>
      </w:r>
    </w:p>
    <w:p w14:paraId="200EBEBE" w14:textId="433C8759" w:rsidR="00D252B0" w:rsidRPr="00D252B0" w:rsidRDefault="00D252B0" w:rsidP="00D252B0">
      <w:pPr>
        <w:pBdr>
          <w:top w:val="nil"/>
          <w:left w:val="nil"/>
          <w:bottom w:val="nil"/>
          <w:right w:val="nil"/>
          <w:between w:val="nil"/>
        </w:pBdr>
        <w:spacing w:line="276" w:lineRule="auto"/>
        <w:jc w:val="center"/>
        <w:rPr>
          <w:rFonts w:ascii="Times New Roman" w:eastAsia="Verdana" w:hAnsi="Times New Roman" w:cs="Times New Roman"/>
        </w:rPr>
      </w:pPr>
      <w:r w:rsidRPr="00D252B0">
        <w:rPr>
          <w:rFonts w:ascii="Times New Roman" w:eastAsia="Verdana" w:hAnsi="Times New Roman" w:cs="Times New Roman"/>
        </w:rPr>
        <w:t>Για τον Σύλλογο</w:t>
      </w:r>
    </w:p>
    <w:p w14:paraId="70B83F3C" w14:textId="24712970" w:rsidR="00D252B0" w:rsidRPr="00D252B0" w:rsidRDefault="00D252B0" w:rsidP="00D252B0">
      <w:pPr>
        <w:pBdr>
          <w:top w:val="nil"/>
          <w:left w:val="nil"/>
          <w:bottom w:val="nil"/>
          <w:right w:val="nil"/>
          <w:between w:val="nil"/>
        </w:pBdr>
        <w:spacing w:line="276" w:lineRule="auto"/>
        <w:ind w:left="1440"/>
        <w:rPr>
          <w:rFonts w:ascii="Times New Roman" w:eastAsia="Verdana" w:hAnsi="Times New Roman" w:cs="Times New Roman"/>
        </w:rPr>
      </w:pPr>
      <w:r>
        <w:rPr>
          <w:rFonts w:ascii="Times New Roman" w:eastAsia="Verdana" w:hAnsi="Times New Roman" w:cs="Times New Roman"/>
        </w:rPr>
        <w:t xml:space="preserve">   </w:t>
      </w:r>
      <w:r w:rsidRPr="00D252B0">
        <w:rPr>
          <w:rFonts w:ascii="Times New Roman" w:eastAsia="Verdana" w:hAnsi="Times New Roman" w:cs="Times New Roman"/>
        </w:rPr>
        <w:t>Ο Πρόεδρος</w:t>
      </w:r>
      <w:r w:rsidRPr="00D252B0">
        <w:rPr>
          <w:rFonts w:ascii="Times New Roman" w:eastAsia="Verdana" w:hAnsi="Times New Roman" w:cs="Times New Roman"/>
        </w:rPr>
        <w:tab/>
      </w:r>
      <w:r w:rsidRPr="00D252B0">
        <w:rPr>
          <w:rFonts w:ascii="Times New Roman" w:eastAsia="Verdana" w:hAnsi="Times New Roman" w:cs="Times New Roman"/>
        </w:rPr>
        <w:tab/>
      </w:r>
      <w:r w:rsidRPr="00D252B0">
        <w:rPr>
          <w:rFonts w:ascii="Times New Roman" w:eastAsia="Verdana" w:hAnsi="Times New Roman" w:cs="Times New Roman"/>
        </w:rPr>
        <w:tab/>
      </w:r>
      <w:r w:rsidRPr="00D252B0">
        <w:rPr>
          <w:rFonts w:ascii="Times New Roman" w:eastAsia="Verdana" w:hAnsi="Times New Roman" w:cs="Times New Roman"/>
        </w:rPr>
        <w:tab/>
      </w:r>
      <w:r w:rsidRPr="00D252B0">
        <w:rPr>
          <w:rFonts w:ascii="Times New Roman" w:eastAsia="Verdana" w:hAnsi="Times New Roman" w:cs="Times New Roman"/>
        </w:rPr>
        <w:tab/>
      </w:r>
      <w:r>
        <w:rPr>
          <w:rFonts w:ascii="Times New Roman" w:eastAsia="Verdana" w:hAnsi="Times New Roman" w:cs="Times New Roman"/>
        </w:rPr>
        <w:t xml:space="preserve">       </w:t>
      </w:r>
      <w:r w:rsidRPr="00D252B0">
        <w:rPr>
          <w:rFonts w:ascii="Times New Roman" w:eastAsia="Verdana" w:hAnsi="Times New Roman" w:cs="Times New Roman"/>
        </w:rPr>
        <w:t xml:space="preserve"> Η Γραμματέας</w:t>
      </w:r>
    </w:p>
    <w:p w14:paraId="3E26EBF5" w14:textId="77777777" w:rsidR="00D252B0" w:rsidRPr="00D252B0" w:rsidRDefault="00D252B0" w:rsidP="00D252B0">
      <w:pPr>
        <w:pBdr>
          <w:top w:val="nil"/>
          <w:left w:val="nil"/>
          <w:bottom w:val="nil"/>
          <w:right w:val="nil"/>
          <w:between w:val="nil"/>
        </w:pBdr>
        <w:spacing w:line="276" w:lineRule="auto"/>
        <w:jc w:val="both"/>
        <w:rPr>
          <w:rFonts w:ascii="Times New Roman" w:eastAsia="Verdana" w:hAnsi="Times New Roman" w:cs="Times New Roman"/>
        </w:rPr>
      </w:pPr>
    </w:p>
    <w:p w14:paraId="7636E593" w14:textId="2A171105" w:rsidR="00D252B0" w:rsidRPr="00D252B0" w:rsidRDefault="00D252B0" w:rsidP="00D252B0">
      <w:pPr>
        <w:pBdr>
          <w:top w:val="nil"/>
          <w:left w:val="nil"/>
          <w:bottom w:val="nil"/>
          <w:right w:val="nil"/>
          <w:between w:val="nil"/>
        </w:pBdr>
        <w:spacing w:line="276" w:lineRule="auto"/>
        <w:jc w:val="both"/>
        <w:rPr>
          <w:rFonts w:ascii="Times New Roman" w:eastAsia="Verdana" w:hAnsi="Times New Roman" w:cs="Times New Roman"/>
        </w:rPr>
      </w:pPr>
      <w:r w:rsidRPr="00D252B0">
        <w:rPr>
          <w:rFonts w:ascii="Times New Roman" w:eastAsia="Verdana" w:hAnsi="Times New Roman" w:cs="Times New Roman"/>
        </w:rPr>
        <w:t xml:space="preserve"> </w:t>
      </w:r>
      <w:r>
        <w:rPr>
          <w:rFonts w:ascii="Times New Roman" w:eastAsia="Verdana" w:hAnsi="Times New Roman" w:cs="Times New Roman"/>
        </w:rPr>
        <w:tab/>
      </w:r>
      <w:r>
        <w:rPr>
          <w:rFonts w:ascii="Times New Roman" w:eastAsia="Verdana" w:hAnsi="Times New Roman" w:cs="Times New Roman"/>
        </w:rPr>
        <w:tab/>
      </w:r>
      <w:r w:rsidRPr="00D252B0">
        <w:rPr>
          <w:rFonts w:ascii="Times New Roman" w:eastAsia="Verdana" w:hAnsi="Times New Roman" w:cs="Times New Roman"/>
        </w:rPr>
        <w:t xml:space="preserve"> Κώστας </w:t>
      </w:r>
      <w:proofErr w:type="spellStart"/>
      <w:r w:rsidRPr="00D252B0">
        <w:rPr>
          <w:rFonts w:ascii="Times New Roman" w:eastAsia="Verdana" w:hAnsi="Times New Roman" w:cs="Times New Roman"/>
        </w:rPr>
        <w:t>Γκαντάτσιος</w:t>
      </w:r>
      <w:proofErr w:type="spellEnd"/>
      <w:r w:rsidRPr="00D252B0">
        <w:rPr>
          <w:rFonts w:ascii="Times New Roman" w:eastAsia="Verdana" w:hAnsi="Times New Roman" w:cs="Times New Roman"/>
        </w:rPr>
        <w:t xml:space="preserve">                                                    Μαρία Τερζάκη</w:t>
      </w:r>
    </w:p>
    <w:p w14:paraId="1BD49EEA" w14:textId="77777777" w:rsidR="00D252B0" w:rsidRDefault="00D252B0" w:rsidP="00D252B0"/>
    <w:p w14:paraId="14BBDD04" w14:textId="77777777" w:rsidR="00A610D0" w:rsidRDefault="00A610D0" w:rsidP="003E6A1C">
      <w:pPr>
        <w:pBdr>
          <w:top w:val="nil"/>
          <w:left w:val="nil"/>
          <w:bottom w:val="nil"/>
          <w:right w:val="nil"/>
          <w:between w:val="nil"/>
        </w:pBdr>
        <w:spacing w:after="0" w:line="276" w:lineRule="auto"/>
        <w:ind w:left="3600" w:firstLine="720"/>
        <w:jc w:val="both"/>
        <w:rPr>
          <w:rFonts w:ascii="Times New Roman" w:eastAsia="Verdana" w:hAnsi="Times New Roman" w:cs="Times New Roman"/>
          <w:sz w:val="24"/>
          <w:szCs w:val="24"/>
        </w:rPr>
      </w:pPr>
    </w:p>
    <w:p w14:paraId="7FFCEBB3" w14:textId="6C10C684" w:rsidR="000405D9" w:rsidRPr="0021324E" w:rsidRDefault="000405D9" w:rsidP="000405D9">
      <w:pPr>
        <w:pBdr>
          <w:top w:val="nil"/>
          <w:left w:val="nil"/>
          <w:bottom w:val="nil"/>
          <w:right w:val="nil"/>
          <w:between w:val="nil"/>
        </w:pBdr>
        <w:spacing w:after="0" w:line="276" w:lineRule="auto"/>
        <w:jc w:val="both"/>
        <w:rPr>
          <w:rFonts w:ascii="Times New Roman" w:eastAsia="Verdana" w:hAnsi="Times New Roman" w:cs="Times New Roman"/>
          <w:sz w:val="24"/>
          <w:szCs w:val="24"/>
        </w:rPr>
      </w:pPr>
      <w:r>
        <w:rPr>
          <w:rFonts w:ascii="Times New Roman" w:eastAsia="Verdana" w:hAnsi="Times New Roman" w:cs="Times New Roman"/>
          <w:sz w:val="24"/>
          <w:szCs w:val="24"/>
        </w:rPr>
        <w:t>Πίνακας Αποδεκτών: Συνήγορος του Πολίτη</w:t>
      </w:r>
    </w:p>
    <w:sectPr w:rsidR="000405D9" w:rsidRPr="00213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E33"/>
    <w:multiLevelType w:val="hybridMultilevel"/>
    <w:tmpl w:val="B86A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71F22"/>
    <w:multiLevelType w:val="hybridMultilevel"/>
    <w:tmpl w:val="36B04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EF7D87"/>
    <w:multiLevelType w:val="multilevel"/>
    <w:tmpl w:val="F4E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D5DC0"/>
    <w:multiLevelType w:val="multilevel"/>
    <w:tmpl w:val="9A32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35C2C"/>
    <w:multiLevelType w:val="multilevel"/>
    <w:tmpl w:val="B2503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952E4"/>
    <w:multiLevelType w:val="multilevel"/>
    <w:tmpl w:val="781E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F35C2"/>
    <w:multiLevelType w:val="multilevel"/>
    <w:tmpl w:val="181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67608F"/>
    <w:multiLevelType w:val="hybridMultilevel"/>
    <w:tmpl w:val="5960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7E1D70"/>
    <w:multiLevelType w:val="multilevel"/>
    <w:tmpl w:val="BC3A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3209C4"/>
    <w:multiLevelType w:val="multilevel"/>
    <w:tmpl w:val="C13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06C95"/>
    <w:multiLevelType w:val="hybridMultilevel"/>
    <w:tmpl w:val="25824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85646"/>
    <w:multiLevelType w:val="multilevel"/>
    <w:tmpl w:val="2278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72893"/>
    <w:multiLevelType w:val="multilevel"/>
    <w:tmpl w:val="771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6499D"/>
    <w:multiLevelType w:val="multilevel"/>
    <w:tmpl w:val="978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F17F4"/>
    <w:multiLevelType w:val="hybridMultilevel"/>
    <w:tmpl w:val="252A4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1689636">
    <w:abstractNumId w:val="8"/>
  </w:num>
  <w:num w:numId="2" w16cid:durableId="1924562679">
    <w:abstractNumId w:val="7"/>
  </w:num>
  <w:num w:numId="3" w16cid:durableId="2090155456">
    <w:abstractNumId w:val="5"/>
  </w:num>
  <w:num w:numId="4" w16cid:durableId="1097867553">
    <w:abstractNumId w:val="4"/>
  </w:num>
  <w:num w:numId="5" w16cid:durableId="1687437301">
    <w:abstractNumId w:val="6"/>
  </w:num>
  <w:num w:numId="6" w16cid:durableId="2030183538">
    <w:abstractNumId w:val="9"/>
  </w:num>
  <w:num w:numId="7" w16cid:durableId="1235555557">
    <w:abstractNumId w:val="11"/>
  </w:num>
  <w:num w:numId="8" w16cid:durableId="204831432">
    <w:abstractNumId w:val="10"/>
  </w:num>
  <w:num w:numId="9" w16cid:durableId="302278186">
    <w:abstractNumId w:val="2"/>
  </w:num>
  <w:num w:numId="10" w16cid:durableId="572356127">
    <w:abstractNumId w:val="3"/>
  </w:num>
  <w:num w:numId="11" w16cid:durableId="648444055">
    <w:abstractNumId w:val="1"/>
  </w:num>
  <w:num w:numId="12" w16cid:durableId="379592605">
    <w:abstractNumId w:val="14"/>
  </w:num>
  <w:num w:numId="13" w16cid:durableId="1170413946">
    <w:abstractNumId w:val="12"/>
  </w:num>
  <w:num w:numId="14" w16cid:durableId="1880824409">
    <w:abstractNumId w:val="13"/>
  </w:num>
  <w:num w:numId="15" w16cid:durableId="105291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89"/>
    <w:rsid w:val="0001386B"/>
    <w:rsid w:val="0001599F"/>
    <w:rsid w:val="000208D0"/>
    <w:rsid w:val="0002390F"/>
    <w:rsid w:val="000405D9"/>
    <w:rsid w:val="0005581E"/>
    <w:rsid w:val="000A625B"/>
    <w:rsid w:val="000D09B4"/>
    <w:rsid w:val="000D781C"/>
    <w:rsid w:val="000E4226"/>
    <w:rsid w:val="000E6D64"/>
    <w:rsid w:val="001076CC"/>
    <w:rsid w:val="001455E5"/>
    <w:rsid w:val="00184778"/>
    <w:rsid w:val="001918CB"/>
    <w:rsid w:val="001B3421"/>
    <w:rsid w:val="002058E0"/>
    <w:rsid w:val="00210221"/>
    <w:rsid w:val="0021324E"/>
    <w:rsid w:val="00234669"/>
    <w:rsid w:val="0026419E"/>
    <w:rsid w:val="00265A71"/>
    <w:rsid w:val="002C7142"/>
    <w:rsid w:val="002D392B"/>
    <w:rsid w:val="002D7F6B"/>
    <w:rsid w:val="002E4838"/>
    <w:rsid w:val="003008D3"/>
    <w:rsid w:val="00303E4E"/>
    <w:rsid w:val="0032059F"/>
    <w:rsid w:val="00325BB5"/>
    <w:rsid w:val="00327381"/>
    <w:rsid w:val="003847E1"/>
    <w:rsid w:val="00390A97"/>
    <w:rsid w:val="003A0B84"/>
    <w:rsid w:val="003E6A1C"/>
    <w:rsid w:val="004370D8"/>
    <w:rsid w:val="004649BA"/>
    <w:rsid w:val="0048469C"/>
    <w:rsid w:val="004B05E7"/>
    <w:rsid w:val="004C0F6B"/>
    <w:rsid w:val="004D0A22"/>
    <w:rsid w:val="005168A7"/>
    <w:rsid w:val="00554A89"/>
    <w:rsid w:val="0055629D"/>
    <w:rsid w:val="00566BD5"/>
    <w:rsid w:val="00571C55"/>
    <w:rsid w:val="005968A1"/>
    <w:rsid w:val="005B0374"/>
    <w:rsid w:val="005E6163"/>
    <w:rsid w:val="005E71E6"/>
    <w:rsid w:val="005F0668"/>
    <w:rsid w:val="006304C6"/>
    <w:rsid w:val="006453B7"/>
    <w:rsid w:val="00654382"/>
    <w:rsid w:val="0066235A"/>
    <w:rsid w:val="0067000A"/>
    <w:rsid w:val="00692D5C"/>
    <w:rsid w:val="006A7532"/>
    <w:rsid w:val="006B0BAD"/>
    <w:rsid w:val="006C103D"/>
    <w:rsid w:val="00735234"/>
    <w:rsid w:val="0074648C"/>
    <w:rsid w:val="00787ED2"/>
    <w:rsid w:val="00791FB2"/>
    <w:rsid w:val="007959D8"/>
    <w:rsid w:val="007D2ACB"/>
    <w:rsid w:val="007F4DB5"/>
    <w:rsid w:val="0082152F"/>
    <w:rsid w:val="00827859"/>
    <w:rsid w:val="00834555"/>
    <w:rsid w:val="00844E07"/>
    <w:rsid w:val="0089278A"/>
    <w:rsid w:val="008A4522"/>
    <w:rsid w:val="008F1CF9"/>
    <w:rsid w:val="0090315B"/>
    <w:rsid w:val="0093491E"/>
    <w:rsid w:val="00945CFE"/>
    <w:rsid w:val="0094749C"/>
    <w:rsid w:val="00970553"/>
    <w:rsid w:val="009908E6"/>
    <w:rsid w:val="00994342"/>
    <w:rsid w:val="009D33FC"/>
    <w:rsid w:val="009F1A81"/>
    <w:rsid w:val="00A22D35"/>
    <w:rsid w:val="00A34231"/>
    <w:rsid w:val="00A5014C"/>
    <w:rsid w:val="00A610D0"/>
    <w:rsid w:val="00A81819"/>
    <w:rsid w:val="00A92C02"/>
    <w:rsid w:val="00AC09DC"/>
    <w:rsid w:val="00B021F9"/>
    <w:rsid w:val="00B72093"/>
    <w:rsid w:val="00B908A7"/>
    <w:rsid w:val="00BA0536"/>
    <w:rsid w:val="00BB2D8B"/>
    <w:rsid w:val="00BB4B5B"/>
    <w:rsid w:val="00BC427D"/>
    <w:rsid w:val="00BE18A4"/>
    <w:rsid w:val="00C1396F"/>
    <w:rsid w:val="00C35C17"/>
    <w:rsid w:val="00C7267D"/>
    <w:rsid w:val="00C767E5"/>
    <w:rsid w:val="00C9671F"/>
    <w:rsid w:val="00CA0FA6"/>
    <w:rsid w:val="00CB1C2C"/>
    <w:rsid w:val="00CF31FE"/>
    <w:rsid w:val="00D13570"/>
    <w:rsid w:val="00D252B0"/>
    <w:rsid w:val="00D662CB"/>
    <w:rsid w:val="00D85FF8"/>
    <w:rsid w:val="00DC796D"/>
    <w:rsid w:val="00DC7A2B"/>
    <w:rsid w:val="00DE702C"/>
    <w:rsid w:val="00E333EC"/>
    <w:rsid w:val="00E3726A"/>
    <w:rsid w:val="00E73D89"/>
    <w:rsid w:val="00ED3B71"/>
    <w:rsid w:val="00F45602"/>
    <w:rsid w:val="00F52B41"/>
    <w:rsid w:val="00F538C7"/>
    <w:rsid w:val="00FC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45BE"/>
  <w15:chartTrackingRefBased/>
  <w15:docId w15:val="{8C002AEA-3EF6-45EF-9288-7FEDCD7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8E6"/>
    <w:pPr>
      <w:spacing w:line="259" w:lineRule="auto"/>
    </w:pPr>
    <w:rPr>
      <w:sz w:val="22"/>
      <w:szCs w:val="22"/>
      <w:lang w:val="el-GR"/>
    </w:rPr>
  </w:style>
  <w:style w:type="paragraph" w:styleId="1">
    <w:name w:val="heading 1"/>
    <w:basedOn w:val="a"/>
    <w:next w:val="a"/>
    <w:link w:val="1Char"/>
    <w:uiPriority w:val="9"/>
    <w:qFormat/>
    <w:rsid w:val="00554A8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554A8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554A89"/>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554A89"/>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5">
    <w:name w:val="heading 5"/>
    <w:basedOn w:val="a"/>
    <w:next w:val="a"/>
    <w:link w:val="5Char"/>
    <w:uiPriority w:val="9"/>
    <w:semiHidden/>
    <w:unhideWhenUsed/>
    <w:qFormat/>
    <w:rsid w:val="00554A89"/>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6">
    <w:name w:val="heading 6"/>
    <w:basedOn w:val="a"/>
    <w:next w:val="a"/>
    <w:link w:val="6Char"/>
    <w:uiPriority w:val="9"/>
    <w:semiHidden/>
    <w:unhideWhenUsed/>
    <w:qFormat/>
    <w:rsid w:val="00554A89"/>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7">
    <w:name w:val="heading 7"/>
    <w:basedOn w:val="a"/>
    <w:next w:val="a"/>
    <w:link w:val="7Char"/>
    <w:uiPriority w:val="9"/>
    <w:semiHidden/>
    <w:unhideWhenUsed/>
    <w:qFormat/>
    <w:rsid w:val="00554A89"/>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8">
    <w:name w:val="heading 8"/>
    <w:basedOn w:val="a"/>
    <w:next w:val="a"/>
    <w:link w:val="8Char"/>
    <w:uiPriority w:val="9"/>
    <w:semiHidden/>
    <w:unhideWhenUsed/>
    <w:qFormat/>
    <w:rsid w:val="00554A89"/>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9">
    <w:name w:val="heading 9"/>
    <w:basedOn w:val="a"/>
    <w:next w:val="a"/>
    <w:link w:val="9Char"/>
    <w:uiPriority w:val="9"/>
    <w:semiHidden/>
    <w:unhideWhenUsed/>
    <w:qFormat/>
    <w:rsid w:val="00554A89"/>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4A8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4A8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4A8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4A8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4A8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4A8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4A8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4A8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4A89"/>
    <w:rPr>
      <w:rFonts w:eastAsiaTheme="majorEastAsia" w:cstheme="majorBidi"/>
      <w:color w:val="272727" w:themeColor="text1" w:themeTint="D8"/>
    </w:rPr>
  </w:style>
  <w:style w:type="paragraph" w:styleId="a3">
    <w:name w:val="Title"/>
    <w:basedOn w:val="a"/>
    <w:next w:val="a"/>
    <w:link w:val="Char"/>
    <w:uiPriority w:val="10"/>
    <w:qFormat/>
    <w:rsid w:val="00554A8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554A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4A89"/>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554A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4A89"/>
    <w:pPr>
      <w:spacing w:before="160" w:line="278" w:lineRule="auto"/>
      <w:jc w:val="center"/>
    </w:pPr>
    <w:rPr>
      <w:i/>
      <w:iCs/>
      <w:color w:val="404040" w:themeColor="text1" w:themeTint="BF"/>
      <w:sz w:val="24"/>
      <w:szCs w:val="24"/>
      <w:lang w:val="en-US"/>
    </w:rPr>
  </w:style>
  <w:style w:type="character" w:customStyle="1" w:styleId="Char1">
    <w:name w:val="Απόσπασμα Char"/>
    <w:basedOn w:val="a0"/>
    <w:link w:val="a5"/>
    <w:uiPriority w:val="29"/>
    <w:rsid w:val="00554A89"/>
    <w:rPr>
      <w:i/>
      <w:iCs/>
      <w:color w:val="404040" w:themeColor="text1" w:themeTint="BF"/>
    </w:rPr>
  </w:style>
  <w:style w:type="paragraph" w:styleId="a6">
    <w:name w:val="List Paragraph"/>
    <w:basedOn w:val="a"/>
    <w:uiPriority w:val="34"/>
    <w:qFormat/>
    <w:rsid w:val="00554A89"/>
    <w:pPr>
      <w:spacing w:line="278" w:lineRule="auto"/>
      <w:ind w:left="720"/>
      <w:contextualSpacing/>
    </w:pPr>
    <w:rPr>
      <w:sz w:val="24"/>
      <w:szCs w:val="24"/>
      <w:lang w:val="en-US"/>
    </w:rPr>
  </w:style>
  <w:style w:type="character" w:styleId="a7">
    <w:name w:val="Intense Emphasis"/>
    <w:basedOn w:val="a0"/>
    <w:uiPriority w:val="21"/>
    <w:qFormat/>
    <w:rsid w:val="00554A89"/>
    <w:rPr>
      <w:i/>
      <w:iCs/>
      <w:color w:val="2F5496" w:themeColor="accent1" w:themeShade="BF"/>
    </w:rPr>
  </w:style>
  <w:style w:type="paragraph" w:styleId="a8">
    <w:name w:val="Intense Quote"/>
    <w:basedOn w:val="a"/>
    <w:next w:val="a"/>
    <w:link w:val="Char2"/>
    <w:uiPriority w:val="30"/>
    <w:qFormat/>
    <w:rsid w:val="00554A8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Char2">
    <w:name w:val="Έντονο απόσπ. Char"/>
    <w:basedOn w:val="a0"/>
    <w:link w:val="a8"/>
    <w:uiPriority w:val="30"/>
    <w:rsid w:val="00554A89"/>
    <w:rPr>
      <w:i/>
      <w:iCs/>
      <w:color w:val="2F5496" w:themeColor="accent1" w:themeShade="BF"/>
    </w:rPr>
  </w:style>
  <w:style w:type="character" w:styleId="a9">
    <w:name w:val="Intense Reference"/>
    <w:basedOn w:val="a0"/>
    <w:uiPriority w:val="32"/>
    <w:qFormat/>
    <w:rsid w:val="00554A89"/>
    <w:rPr>
      <w:b/>
      <w:bCs/>
      <w:smallCaps/>
      <w:color w:val="2F5496" w:themeColor="accent1" w:themeShade="BF"/>
      <w:spacing w:val="5"/>
    </w:rPr>
  </w:style>
  <w:style w:type="paragraph" w:styleId="Web">
    <w:name w:val="Normal (Web)"/>
    <w:basedOn w:val="a"/>
    <w:uiPriority w:val="99"/>
    <w:unhideWhenUsed/>
    <w:rsid w:val="009908E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a">
    <w:name w:val="Strong"/>
    <w:basedOn w:val="a0"/>
    <w:uiPriority w:val="22"/>
    <w:qFormat/>
    <w:rsid w:val="001455E5"/>
    <w:rPr>
      <w:b/>
      <w:bCs/>
    </w:rPr>
  </w:style>
  <w:style w:type="character" w:styleId="ab">
    <w:name w:val="Emphasis"/>
    <w:basedOn w:val="a0"/>
    <w:uiPriority w:val="20"/>
    <w:qFormat/>
    <w:rsid w:val="001455E5"/>
    <w:rPr>
      <w:i/>
      <w:iCs/>
    </w:rPr>
  </w:style>
  <w:style w:type="character" w:styleId="-">
    <w:name w:val="Hyperlink"/>
    <w:basedOn w:val="a0"/>
    <w:uiPriority w:val="99"/>
    <w:unhideWhenUsed/>
    <w:rsid w:val="001B3421"/>
    <w:rPr>
      <w:color w:val="0563C1" w:themeColor="hyperlink"/>
      <w:u w:val="single"/>
    </w:rPr>
  </w:style>
  <w:style w:type="character" w:styleId="ac">
    <w:name w:val="Unresolved Mention"/>
    <w:basedOn w:val="a0"/>
    <w:uiPriority w:val="99"/>
    <w:semiHidden/>
    <w:unhideWhenUsed/>
    <w:rsid w:val="001B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945</TotalTime>
  <Pages>2</Pages>
  <Words>803</Words>
  <Characters>4582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2025-10-14T14:45:00Z</dcterms:created>
  <dcterms:modified xsi:type="dcterms:W3CDTF">2026-05-01T09:25:00Z</dcterms:modified>
</cp:coreProperties>
</file>